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22D" w14:textId="6CBC973A" w:rsidR="00C05545" w:rsidRPr="00C77CDF" w:rsidRDefault="00C05545" w:rsidP="009C37C7">
      <w:pPr>
        <w:jc w:val="center"/>
        <w:rPr>
          <w:rFonts w:eastAsiaTheme="minorEastAsia"/>
        </w:rPr>
      </w:pPr>
      <w:r w:rsidRPr="00C77CDF">
        <w:rPr>
          <w:rFonts w:eastAsiaTheme="minorEastAsia"/>
          <w:b/>
          <w:bCs/>
        </w:rPr>
        <w:t>Proponente</w:t>
      </w:r>
      <w:r w:rsidRPr="00C77CDF">
        <w:rPr>
          <w:rFonts w:eastAsiaTheme="minorEastAsia"/>
        </w:rPr>
        <w:t>: Federação das Indústrias do Estado de São Paulo (Fiesp)</w:t>
      </w:r>
    </w:p>
    <w:p w14:paraId="297B9AFA" w14:textId="75BF6D99" w:rsidR="00C05545" w:rsidRPr="00C77CDF" w:rsidRDefault="00C05545" w:rsidP="009C37C7">
      <w:pPr>
        <w:jc w:val="center"/>
        <w:rPr>
          <w:rFonts w:eastAsiaTheme="minorEastAsia"/>
        </w:rPr>
      </w:pPr>
      <w:r w:rsidRPr="00C77CDF">
        <w:rPr>
          <w:rFonts w:eastAsiaTheme="minorEastAsia"/>
          <w:b/>
          <w:bCs/>
        </w:rPr>
        <w:t>Endereço</w:t>
      </w:r>
      <w:r w:rsidRPr="00C77CDF">
        <w:rPr>
          <w:rFonts w:eastAsiaTheme="minorEastAsia"/>
        </w:rPr>
        <w:t>: Avenida Paulista, nº 1.313 – Bela Vista, São Paulo – SP. CEP 01311-923.</w:t>
      </w:r>
    </w:p>
    <w:p w14:paraId="0E684EB2" w14:textId="25BDF877" w:rsidR="00C05545" w:rsidRPr="00C77CDF" w:rsidRDefault="00C05545" w:rsidP="009C37C7">
      <w:pPr>
        <w:jc w:val="center"/>
        <w:rPr>
          <w:rFonts w:eastAsiaTheme="minorEastAsia"/>
        </w:rPr>
      </w:pPr>
      <w:r w:rsidRPr="00C77CDF">
        <w:rPr>
          <w:rFonts w:eastAsiaTheme="minorEastAsia"/>
          <w:b/>
          <w:bCs/>
        </w:rPr>
        <w:t>Telefone</w:t>
      </w:r>
      <w:r w:rsidRPr="00C77CDF">
        <w:rPr>
          <w:rFonts w:eastAsiaTheme="minorEastAsia"/>
        </w:rPr>
        <w:t>: (11) 3549-4215/4437</w:t>
      </w:r>
    </w:p>
    <w:p w14:paraId="28E4ABE0" w14:textId="77777777" w:rsidR="00C05545" w:rsidRPr="00C05545" w:rsidRDefault="00C05545" w:rsidP="00C05545">
      <w:pPr>
        <w:rPr>
          <w:rFonts w:eastAsiaTheme="minorEastAsia"/>
        </w:rPr>
      </w:pPr>
    </w:p>
    <w:p w14:paraId="78B382A0" w14:textId="68D15CF4" w:rsidR="3C620DC3" w:rsidRDefault="3C620DC3" w:rsidP="3C620DC3"/>
    <w:p w14:paraId="5EBEAEF6" w14:textId="78FF4669" w:rsidR="3C620DC3" w:rsidRDefault="3C620DC3">
      <w:r>
        <w:br w:type="page"/>
      </w:r>
    </w:p>
    <w:p w14:paraId="3437BD38" w14:textId="531AC07F" w:rsidR="3F2CCBE0" w:rsidRPr="00C77CDF" w:rsidRDefault="3F2CCBE0" w:rsidP="3C620DC3">
      <w:pPr>
        <w:spacing w:line="257" w:lineRule="auto"/>
        <w:jc w:val="right"/>
      </w:pPr>
      <w:r w:rsidRPr="00C77CDF">
        <w:rPr>
          <w:rFonts w:ascii="Calibri" w:eastAsia="Calibri" w:hAnsi="Calibri" w:cs="Calibri"/>
        </w:rPr>
        <w:lastRenderedPageBreak/>
        <w:t xml:space="preserve">São Paulo, </w:t>
      </w:r>
      <w:r w:rsidR="03B41554" w:rsidRPr="00C77CDF">
        <w:rPr>
          <w:rFonts w:ascii="Calibri" w:eastAsia="Calibri" w:hAnsi="Calibri" w:cs="Calibri"/>
        </w:rPr>
        <w:t>23 de junho de 2021</w:t>
      </w:r>
      <w:r w:rsidRPr="00C77CDF">
        <w:rPr>
          <w:rFonts w:ascii="Calibri" w:eastAsia="Calibri" w:hAnsi="Calibri" w:cs="Calibri"/>
        </w:rPr>
        <w:t>.</w:t>
      </w:r>
    </w:p>
    <w:p w14:paraId="10B5FA29" w14:textId="77777777" w:rsidR="00C74E30" w:rsidRPr="00C77CDF" w:rsidRDefault="3F2CCBE0" w:rsidP="001C799F">
      <w:pPr>
        <w:spacing w:after="0"/>
        <w:jc w:val="both"/>
        <w:rPr>
          <w:rFonts w:ascii="Calibri" w:eastAsia="Calibri" w:hAnsi="Calibri" w:cs="Calibri"/>
        </w:rPr>
      </w:pPr>
      <w:r w:rsidRPr="00C77CDF">
        <w:rPr>
          <w:rFonts w:ascii="Calibri" w:eastAsia="Calibri" w:hAnsi="Calibri" w:cs="Calibri"/>
        </w:rPr>
        <w:t>Ao Senhor</w:t>
      </w:r>
    </w:p>
    <w:p w14:paraId="36EE83A1" w14:textId="77777777" w:rsidR="00C74E30" w:rsidRPr="00C77CDF" w:rsidRDefault="3F2CCBE0" w:rsidP="001C799F">
      <w:pPr>
        <w:spacing w:after="0"/>
        <w:jc w:val="both"/>
        <w:rPr>
          <w:rFonts w:ascii="Calibri" w:eastAsia="Calibri" w:hAnsi="Calibri" w:cs="Calibri"/>
        </w:rPr>
      </w:pPr>
      <w:r w:rsidRPr="00C77CDF">
        <w:rPr>
          <w:rFonts w:ascii="Calibri" w:eastAsia="Calibri" w:hAnsi="Calibri" w:cs="Calibri"/>
        </w:rPr>
        <w:t>Lucas Pedreira do Couto Ferraz</w:t>
      </w:r>
    </w:p>
    <w:p w14:paraId="6C746ACA" w14:textId="77777777" w:rsidR="00C74E30" w:rsidRPr="00C77CDF" w:rsidRDefault="3F2CCBE0" w:rsidP="001C799F">
      <w:pPr>
        <w:spacing w:after="0"/>
        <w:jc w:val="both"/>
        <w:rPr>
          <w:rFonts w:ascii="Calibri" w:eastAsia="Calibri" w:hAnsi="Calibri" w:cs="Calibri"/>
        </w:rPr>
      </w:pPr>
      <w:r w:rsidRPr="00C77CDF">
        <w:rPr>
          <w:rFonts w:ascii="Calibri" w:eastAsia="Calibri" w:hAnsi="Calibri" w:cs="Calibri"/>
        </w:rPr>
        <w:t>Secretário de Comércio Exterior</w:t>
      </w:r>
    </w:p>
    <w:p w14:paraId="1E6C840F" w14:textId="77777777" w:rsidR="00C74E30" w:rsidRPr="00C77CDF" w:rsidRDefault="3F2CCBE0" w:rsidP="001C799F">
      <w:pPr>
        <w:spacing w:after="0"/>
        <w:jc w:val="both"/>
        <w:rPr>
          <w:rFonts w:ascii="Calibri" w:eastAsia="Calibri" w:hAnsi="Calibri" w:cs="Calibri"/>
        </w:rPr>
      </w:pPr>
      <w:r w:rsidRPr="00C77CDF">
        <w:rPr>
          <w:rFonts w:ascii="Calibri" w:eastAsia="Calibri" w:hAnsi="Calibri" w:cs="Calibri"/>
        </w:rPr>
        <w:t>Ministério da Economia</w:t>
      </w:r>
    </w:p>
    <w:p w14:paraId="5BBE3C7D" w14:textId="55A40C95" w:rsidR="3F2CCBE0" w:rsidRPr="00C77CDF" w:rsidRDefault="3F2CCBE0" w:rsidP="001C799F">
      <w:pPr>
        <w:spacing w:after="0"/>
        <w:jc w:val="both"/>
        <w:rPr>
          <w:rFonts w:ascii="Calibri" w:eastAsia="Calibri" w:hAnsi="Calibri" w:cs="Calibri"/>
        </w:rPr>
      </w:pPr>
      <w:r w:rsidRPr="00C77CDF">
        <w:rPr>
          <w:rFonts w:ascii="Calibri" w:eastAsia="Calibri" w:hAnsi="Calibri" w:cs="Calibri"/>
        </w:rPr>
        <w:t xml:space="preserve">Brasília/DF </w:t>
      </w:r>
    </w:p>
    <w:p w14:paraId="11838B9F" w14:textId="77777777" w:rsidR="001C799F" w:rsidRPr="00C77CDF" w:rsidRDefault="001C799F" w:rsidP="001C799F">
      <w:pPr>
        <w:spacing w:after="0"/>
        <w:jc w:val="both"/>
        <w:rPr>
          <w:rFonts w:ascii="Calibri" w:eastAsia="Calibri" w:hAnsi="Calibri" w:cs="Calibri"/>
        </w:rPr>
      </w:pPr>
    </w:p>
    <w:p w14:paraId="39A22249" w14:textId="750D122F" w:rsidR="00C74E30" w:rsidRPr="00C77CDF" w:rsidRDefault="3F2CCBE0" w:rsidP="001C799F">
      <w:pPr>
        <w:spacing w:after="0" w:line="257" w:lineRule="auto"/>
        <w:jc w:val="both"/>
      </w:pPr>
      <w:r w:rsidRPr="00C77CDF">
        <w:rPr>
          <w:rFonts w:ascii="Calibri" w:eastAsia="Calibri" w:hAnsi="Calibri" w:cs="Calibri"/>
        </w:rPr>
        <w:t>C/C</w:t>
      </w:r>
      <w:r w:rsidR="001C799F" w:rsidRPr="00C77CDF">
        <w:t xml:space="preserve"> </w:t>
      </w:r>
      <w:r w:rsidRPr="00C77CDF">
        <w:rPr>
          <w:rFonts w:ascii="Calibri" w:eastAsia="Calibri" w:hAnsi="Calibri" w:cs="Calibri"/>
        </w:rPr>
        <w:t>À Senhora</w:t>
      </w:r>
    </w:p>
    <w:p w14:paraId="4BE271F0" w14:textId="77777777" w:rsidR="00C74E30" w:rsidRPr="00C77CDF" w:rsidRDefault="3F2CCBE0" w:rsidP="001C799F">
      <w:pPr>
        <w:spacing w:after="0" w:line="257" w:lineRule="auto"/>
        <w:jc w:val="both"/>
        <w:rPr>
          <w:rFonts w:ascii="Calibri" w:eastAsia="Calibri" w:hAnsi="Calibri" w:cs="Calibri"/>
        </w:rPr>
      </w:pPr>
      <w:r w:rsidRPr="00C77CDF">
        <w:rPr>
          <w:rFonts w:ascii="Calibri" w:eastAsia="Calibri" w:hAnsi="Calibri" w:cs="Calibri"/>
        </w:rPr>
        <w:t>Amanda Athayde Linhares Martins Rivera</w:t>
      </w:r>
    </w:p>
    <w:p w14:paraId="60EA7FB0" w14:textId="77777777" w:rsidR="00C74E30" w:rsidRPr="00C77CDF" w:rsidRDefault="3F2CCBE0" w:rsidP="001C799F">
      <w:pPr>
        <w:spacing w:after="0" w:line="257" w:lineRule="auto"/>
        <w:jc w:val="both"/>
        <w:rPr>
          <w:rFonts w:ascii="Calibri" w:eastAsia="Calibri" w:hAnsi="Calibri" w:cs="Calibri"/>
        </w:rPr>
      </w:pPr>
      <w:r w:rsidRPr="00C77CDF">
        <w:rPr>
          <w:rFonts w:ascii="Calibri" w:eastAsia="Calibri" w:hAnsi="Calibri" w:cs="Calibri"/>
        </w:rPr>
        <w:t>Subsecretária de Defesa Comercial e Interesse Público</w:t>
      </w:r>
    </w:p>
    <w:p w14:paraId="3EA4B0A5" w14:textId="77777777" w:rsidR="00C74E30" w:rsidRPr="00C77CDF" w:rsidRDefault="3F2CCBE0" w:rsidP="001C799F">
      <w:pPr>
        <w:spacing w:after="0" w:line="257" w:lineRule="auto"/>
        <w:jc w:val="both"/>
        <w:rPr>
          <w:rFonts w:ascii="Calibri" w:eastAsia="Calibri" w:hAnsi="Calibri" w:cs="Calibri"/>
        </w:rPr>
      </w:pPr>
      <w:r w:rsidRPr="00C77CDF">
        <w:rPr>
          <w:rFonts w:ascii="Calibri" w:eastAsia="Calibri" w:hAnsi="Calibri" w:cs="Calibri"/>
        </w:rPr>
        <w:t>Ministério da Economia</w:t>
      </w:r>
    </w:p>
    <w:p w14:paraId="4C343B16" w14:textId="77777777" w:rsidR="0070751F" w:rsidRPr="00C77CDF" w:rsidRDefault="0070751F" w:rsidP="3C620DC3">
      <w:pPr>
        <w:spacing w:line="257" w:lineRule="auto"/>
        <w:jc w:val="both"/>
        <w:rPr>
          <w:rFonts w:ascii="Calibri" w:eastAsia="Calibri" w:hAnsi="Calibri" w:cs="Calibri"/>
        </w:rPr>
      </w:pPr>
    </w:p>
    <w:p w14:paraId="12675FBE" w14:textId="7F6120A1" w:rsidR="0070751F" w:rsidRPr="00C77CDF" w:rsidRDefault="3F2CCBE0" w:rsidP="3C620DC3">
      <w:pPr>
        <w:spacing w:line="257" w:lineRule="auto"/>
        <w:jc w:val="both"/>
        <w:rPr>
          <w:rFonts w:ascii="Calibri" w:eastAsia="Calibri" w:hAnsi="Calibri" w:cs="Calibri"/>
          <w:b/>
          <w:bCs/>
        </w:rPr>
      </w:pPr>
      <w:r w:rsidRPr="00C77CDF">
        <w:rPr>
          <w:rFonts w:ascii="Calibri" w:eastAsia="Calibri" w:hAnsi="Calibri" w:cs="Calibri"/>
          <w:b/>
          <w:bCs/>
        </w:rPr>
        <w:t xml:space="preserve">Ref.: </w:t>
      </w:r>
      <w:r w:rsidR="483B5EC7" w:rsidRPr="00C77CDF">
        <w:rPr>
          <w:rFonts w:ascii="Calibri" w:eastAsia="Calibri" w:hAnsi="Calibri" w:cs="Calibri"/>
          <w:b/>
          <w:bCs/>
        </w:rPr>
        <w:t>Consulta pública acerca da transição das investigações de Defesa Comercial para o SEI/ME</w:t>
      </w:r>
    </w:p>
    <w:p w14:paraId="4C2DC902" w14:textId="77777777" w:rsidR="00CC073A" w:rsidRPr="00C77CDF" w:rsidRDefault="00CC073A" w:rsidP="3C620DC3">
      <w:pPr>
        <w:spacing w:line="257" w:lineRule="auto"/>
        <w:jc w:val="both"/>
      </w:pPr>
    </w:p>
    <w:p w14:paraId="04A287C3" w14:textId="5E5215F5" w:rsidR="3F2CCBE0" w:rsidRPr="00C77CDF" w:rsidRDefault="3F2CCBE0" w:rsidP="3C620DC3">
      <w:pPr>
        <w:spacing w:line="257" w:lineRule="auto"/>
        <w:ind w:firstLine="709"/>
        <w:jc w:val="both"/>
      </w:pPr>
      <w:r w:rsidRPr="00C77CDF">
        <w:rPr>
          <w:rFonts w:ascii="Calibri" w:eastAsia="Calibri" w:hAnsi="Calibri" w:cs="Calibri"/>
        </w:rPr>
        <w:t>Prezado Senhor,</w:t>
      </w:r>
    </w:p>
    <w:p w14:paraId="24295D25" w14:textId="73ED2DDF" w:rsidR="3F2CCBE0" w:rsidRPr="00C77CDF" w:rsidRDefault="3F2CCBE0" w:rsidP="3C620DC3">
      <w:pPr>
        <w:spacing w:line="257" w:lineRule="auto"/>
        <w:ind w:firstLine="709"/>
        <w:jc w:val="both"/>
        <w:rPr>
          <w:rFonts w:ascii="Calibri" w:eastAsia="Calibri" w:hAnsi="Calibri" w:cs="Calibri"/>
        </w:rPr>
      </w:pPr>
      <w:r w:rsidRPr="00C77CDF">
        <w:rPr>
          <w:rFonts w:ascii="Calibri" w:eastAsia="Calibri" w:hAnsi="Calibri" w:cs="Calibri"/>
        </w:rPr>
        <w:t xml:space="preserve">Em atenção à consulta pública iniciada por intermédio da Circular nº </w:t>
      </w:r>
      <w:r w:rsidR="1DFF8EFC" w:rsidRPr="00C77CDF">
        <w:rPr>
          <w:rFonts w:ascii="Calibri" w:eastAsia="Calibri" w:hAnsi="Calibri" w:cs="Calibri"/>
        </w:rPr>
        <w:t>36, de 21 de maio de 2021, da Secretaria de Comércio Exterior (S</w:t>
      </w:r>
      <w:r w:rsidR="46CA1FBD" w:rsidRPr="00C77CDF">
        <w:rPr>
          <w:rFonts w:ascii="Calibri" w:eastAsia="Calibri" w:hAnsi="Calibri" w:cs="Calibri"/>
        </w:rPr>
        <w:t>ecex</w:t>
      </w:r>
      <w:r w:rsidR="1DFF8EFC" w:rsidRPr="00C77CDF">
        <w:rPr>
          <w:rFonts w:ascii="Calibri" w:eastAsia="Calibri" w:hAnsi="Calibri" w:cs="Calibri"/>
        </w:rPr>
        <w:t>)</w:t>
      </w:r>
      <w:r w:rsidRPr="00C77CDF">
        <w:rPr>
          <w:rFonts w:ascii="Calibri" w:eastAsia="Calibri" w:hAnsi="Calibri" w:cs="Calibri"/>
        </w:rPr>
        <w:t xml:space="preserve">, a Federação das Indústrias do Estado de São Paulo </w:t>
      </w:r>
      <w:r w:rsidR="7365D441" w:rsidRPr="00C77CDF">
        <w:rPr>
          <w:rFonts w:ascii="Calibri" w:eastAsia="Calibri" w:hAnsi="Calibri" w:cs="Calibri"/>
        </w:rPr>
        <w:t xml:space="preserve">(Fiesp) </w:t>
      </w:r>
      <w:r w:rsidR="00B54E0D" w:rsidRPr="00C77CDF">
        <w:rPr>
          <w:rFonts w:ascii="Calibri" w:eastAsia="Calibri" w:hAnsi="Calibri" w:cs="Calibri"/>
        </w:rPr>
        <w:t>vem</w:t>
      </w:r>
      <w:r w:rsidRPr="00C77CDF">
        <w:rPr>
          <w:rFonts w:ascii="Calibri" w:eastAsia="Calibri" w:hAnsi="Calibri" w:cs="Calibri"/>
        </w:rPr>
        <w:t xml:space="preserve">, respeitosamente, apresentar </w:t>
      </w:r>
      <w:r w:rsidR="5FA86321" w:rsidRPr="00C77CDF">
        <w:rPr>
          <w:rFonts w:ascii="Calibri" w:eastAsia="Calibri" w:hAnsi="Calibri" w:cs="Calibri"/>
        </w:rPr>
        <w:t>os seus comentários e</w:t>
      </w:r>
      <w:r w:rsidR="70EA1F5F" w:rsidRPr="00C77CDF">
        <w:rPr>
          <w:rFonts w:ascii="Calibri" w:eastAsia="Calibri" w:hAnsi="Calibri" w:cs="Calibri"/>
        </w:rPr>
        <w:t xml:space="preserve"> </w:t>
      </w:r>
      <w:r w:rsidRPr="00C77CDF">
        <w:rPr>
          <w:rFonts w:ascii="Calibri" w:eastAsia="Calibri" w:hAnsi="Calibri" w:cs="Calibri"/>
        </w:rPr>
        <w:t xml:space="preserve">sugestões de aprimoramento </w:t>
      </w:r>
      <w:r w:rsidR="343B3AC5" w:rsidRPr="00C77CDF">
        <w:rPr>
          <w:rFonts w:ascii="Calibri" w:eastAsia="Calibri" w:hAnsi="Calibri" w:cs="Calibri"/>
        </w:rPr>
        <w:t>ao estudo de viabilidade e à minuta de Portaria no âmbito do</w:t>
      </w:r>
      <w:r w:rsidR="00B54E0D" w:rsidRPr="00C77CDF">
        <w:rPr>
          <w:rFonts w:ascii="Calibri" w:eastAsia="Calibri" w:hAnsi="Calibri" w:cs="Calibri"/>
        </w:rPr>
        <w:t xml:space="preserve"> presente</w:t>
      </w:r>
      <w:r w:rsidR="343B3AC5" w:rsidRPr="00C77CDF">
        <w:rPr>
          <w:rFonts w:ascii="Calibri" w:eastAsia="Calibri" w:hAnsi="Calibri" w:cs="Calibri"/>
        </w:rPr>
        <w:t xml:space="preserve"> documento.</w:t>
      </w:r>
      <w:r w:rsidRPr="00C77CDF">
        <w:rPr>
          <w:rFonts w:ascii="Calibri" w:eastAsia="Calibri" w:hAnsi="Calibri" w:cs="Calibri"/>
        </w:rPr>
        <w:t xml:space="preserve"> </w:t>
      </w:r>
    </w:p>
    <w:p w14:paraId="481E0372" w14:textId="6C685786" w:rsidR="0070751F" w:rsidRPr="00C77CDF" w:rsidRDefault="00D04EA2" w:rsidP="00194417">
      <w:pPr>
        <w:spacing w:line="257" w:lineRule="auto"/>
        <w:ind w:firstLine="709"/>
        <w:jc w:val="both"/>
        <w:rPr>
          <w:rFonts w:ascii="Calibri" w:eastAsia="Calibri" w:hAnsi="Calibri" w:cs="Calibri"/>
        </w:rPr>
      </w:pPr>
      <w:r w:rsidRPr="00C77CDF">
        <w:rPr>
          <w:rFonts w:ascii="Calibri" w:eastAsia="Calibri" w:hAnsi="Calibri" w:cs="Calibri"/>
        </w:rPr>
        <w:t xml:space="preserve">Considerando que o Sistema </w:t>
      </w:r>
      <w:proofErr w:type="spellStart"/>
      <w:r w:rsidRPr="00C77CDF">
        <w:rPr>
          <w:rFonts w:ascii="Calibri" w:eastAsia="Calibri" w:hAnsi="Calibri" w:cs="Calibri"/>
        </w:rPr>
        <w:t>Decom</w:t>
      </w:r>
      <w:proofErr w:type="spellEnd"/>
      <w:r w:rsidRPr="00C77CDF">
        <w:rPr>
          <w:rFonts w:ascii="Calibri" w:eastAsia="Calibri" w:hAnsi="Calibri" w:cs="Calibri"/>
        </w:rPr>
        <w:t xml:space="preserve"> Digital (SDD) foi construído </w:t>
      </w:r>
      <w:r w:rsidR="001C799F" w:rsidRPr="00C77CDF">
        <w:rPr>
          <w:rFonts w:ascii="Calibri" w:eastAsia="Calibri" w:hAnsi="Calibri" w:cs="Calibri"/>
        </w:rPr>
        <w:t xml:space="preserve">com o objetivo de </w:t>
      </w:r>
      <w:r w:rsidR="00CC073A" w:rsidRPr="00C77CDF">
        <w:rPr>
          <w:rFonts w:ascii="Calibri" w:eastAsia="Calibri" w:hAnsi="Calibri" w:cs="Calibri"/>
        </w:rPr>
        <w:t>oferecer</w:t>
      </w:r>
      <w:r w:rsidR="001C799F" w:rsidRPr="00C77CDF">
        <w:rPr>
          <w:rFonts w:ascii="Calibri" w:eastAsia="Calibri" w:hAnsi="Calibri" w:cs="Calibri"/>
        </w:rPr>
        <w:t xml:space="preserve"> um</w:t>
      </w:r>
      <w:r w:rsidR="00027405" w:rsidRPr="00C77CDF">
        <w:rPr>
          <w:rFonts w:ascii="Calibri" w:eastAsia="Calibri" w:hAnsi="Calibri" w:cs="Calibri"/>
        </w:rPr>
        <w:t xml:space="preserve">a plataforma </w:t>
      </w:r>
      <w:r w:rsidRPr="00C77CDF">
        <w:rPr>
          <w:rFonts w:ascii="Calibri" w:eastAsia="Calibri" w:hAnsi="Calibri" w:cs="Calibri"/>
        </w:rPr>
        <w:t>personalizad</w:t>
      </w:r>
      <w:r w:rsidR="00027405" w:rsidRPr="00C77CDF">
        <w:rPr>
          <w:rFonts w:ascii="Calibri" w:eastAsia="Calibri" w:hAnsi="Calibri" w:cs="Calibri"/>
        </w:rPr>
        <w:t>a</w:t>
      </w:r>
      <w:r w:rsidRPr="00C77CDF">
        <w:rPr>
          <w:rFonts w:ascii="Calibri" w:eastAsia="Calibri" w:hAnsi="Calibri" w:cs="Calibri"/>
        </w:rPr>
        <w:t xml:space="preserve"> </w:t>
      </w:r>
      <w:r w:rsidR="001C799F" w:rsidRPr="00C77CDF">
        <w:rPr>
          <w:rFonts w:ascii="Calibri" w:eastAsia="Calibri" w:hAnsi="Calibri" w:cs="Calibri"/>
        </w:rPr>
        <w:t>a</w:t>
      </w:r>
      <w:r w:rsidRPr="00C77CDF">
        <w:rPr>
          <w:rFonts w:ascii="Calibri" w:eastAsia="Calibri" w:hAnsi="Calibri" w:cs="Calibri"/>
        </w:rPr>
        <w:t>os processos de defesa comercial, a Fiesp entende que, idealmente, a manutenção des</w:t>
      </w:r>
      <w:r w:rsidR="00CC073A" w:rsidRPr="00C77CDF">
        <w:rPr>
          <w:rFonts w:ascii="Calibri" w:eastAsia="Calibri" w:hAnsi="Calibri" w:cs="Calibri"/>
        </w:rPr>
        <w:t>t</w:t>
      </w:r>
      <w:r w:rsidRPr="00C77CDF">
        <w:rPr>
          <w:rFonts w:ascii="Calibri" w:eastAsia="Calibri" w:hAnsi="Calibri" w:cs="Calibri"/>
        </w:rPr>
        <w:t>es procedimentos no SDD seria</w:t>
      </w:r>
      <w:r w:rsidR="00CC073A" w:rsidRPr="00C77CDF">
        <w:rPr>
          <w:rFonts w:ascii="Calibri" w:eastAsia="Calibri" w:hAnsi="Calibri" w:cs="Calibri"/>
        </w:rPr>
        <w:t xml:space="preserve"> mais</w:t>
      </w:r>
      <w:r w:rsidRPr="00C77CDF">
        <w:rPr>
          <w:rFonts w:ascii="Calibri" w:eastAsia="Calibri" w:hAnsi="Calibri" w:cs="Calibri"/>
        </w:rPr>
        <w:t xml:space="preserve"> desejável à transição ao Sistema Eletrônico de Informações (SEI). Contudo, atentando-se aos obstáculos operacionais</w:t>
      </w:r>
      <w:r w:rsidR="003330C5" w:rsidRPr="00C77CDF">
        <w:rPr>
          <w:rFonts w:ascii="Calibri" w:eastAsia="Calibri" w:hAnsi="Calibri" w:cs="Calibri"/>
        </w:rPr>
        <w:t xml:space="preserve"> </w:t>
      </w:r>
      <w:r w:rsidRPr="00C77CDF">
        <w:rPr>
          <w:rFonts w:ascii="Calibri" w:eastAsia="Calibri" w:hAnsi="Calibri" w:cs="Calibri"/>
        </w:rPr>
        <w:t xml:space="preserve">descritos no estudo de viabilidade e </w:t>
      </w:r>
      <w:r w:rsidR="003330C5" w:rsidRPr="00C77CDF">
        <w:rPr>
          <w:rFonts w:ascii="Calibri" w:eastAsia="Calibri" w:hAnsi="Calibri" w:cs="Calibri"/>
        </w:rPr>
        <w:t>reconhecendo os</w:t>
      </w:r>
      <w:r w:rsidR="00233C9F" w:rsidRPr="00C77CDF">
        <w:rPr>
          <w:rFonts w:ascii="Calibri" w:eastAsia="Calibri" w:hAnsi="Calibri" w:cs="Calibri"/>
        </w:rPr>
        <w:t xml:space="preserve"> potenciais</w:t>
      </w:r>
      <w:r w:rsidR="003330C5" w:rsidRPr="00C77CDF">
        <w:rPr>
          <w:rFonts w:ascii="Calibri" w:eastAsia="Calibri" w:hAnsi="Calibri" w:cs="Calibri"/>
        </w:rPr>
        <w:t xml:space="preserve"> benefícios oriundos do agrupamento das matérias de defesa comercial e interesse público </w:t>
      </w:r>
      <w:proofErr w:type="spellStart"/>
      <w:r w:rsidR="003330C5" w:rsidRPr="00C77CDF">
        <w:rPr>
          <w:rFonts w:ascii="Calibri" w:eastAsia="Calibri" w:hAnsi="Calibri" w:cs="Calibri"/>
        </w:rPr>
        <w:t>no</w:t>
      </w:r>
      <w:proofErr w:type="spellEnd"/>
      <w:r w:rsidR="003330C5" w:rsidRPr="00C77CDF">
        <w:rPr>
          <w:rFonts w:ascii="Calibri" w:eastAsia="Calibri" w:hAnsi="Calibri" w:cs="Calibri"/>
        </w:rPr>
        <w:t xml:space="preserve"> SEI, </w:t>
      </w:r>
      <w:r w:rsidR="001C799F" w:rsidRPr="00C77CDF">
        <w:rPr>
          <w:rFonts w:ascii="Calibri" w:eastAsia="Calibri" w:hAnsi="Calibri" w:cs="Calibri"/>
        </w:rPr>
        <w:t>propomos</w:t>
      </w:r>
      <w:r w:rsidR="003330C5" w:rsidRPr="00C77CDF">
        <w:rPr>
          <w:rFonts w:ascii="Calibri" w:eastAsia="Calibri" w:hAnsi="Calibri" w:cs="Calibri"/>
        </w:rPr>
        <w:t xml:space="preserve"> sugestões de melhoria </w:t>
      </w:r>
      <w:r w:rsidR="001C799F" w:rsidRPr="00C77CDF">
        <w:rPr>
          <w:rFonts w:ascii="Calibri" w:eastAsia="Calibri" w:hAnsi="Calibri" w:cs="Calibri"/>
        </w:rPr>
        <w:t>da nova dinâmica</w:t>
      </w:r>
      <w:r w:rsidR="003330C5" w:rsidRPr="00C77CDF">
        <w:rPr>
          <w:rFonts w:ascii="Calibri" w:eastAsia="Calibri" w:hAnsi="Calibri" w:cs="Calibri"/>
        </w:rPr>
        <w:t xml:space="preserve">. </w:t>
      </w:r>
    </w:p>
    <w:p w14:paraId="7C686984" w14:textId="40D50387" w:rsidR="003330C5" w:rsidRPr="00C77CDF" w:rsidRDefault="003330C5" w:rsidP="00194417">
      <w:pPr>
        <w:spacing w:line="257" w:lineRule="auto"/>
        <w:ind w:firstLine="709"/>
        <w:jc w:val="both"/>
        <w:rPr>
          <w:rFonts w:ascii="Calibri" w:eastAsia="Calibri" w:hAnsi="Calibri" w:cs="Calibri"/>
        </w:rPr>
      </w:pPr>
      <w:r w:rsidRPr="00C77CDF">
        <w:rPr>
          <w:rFonts w:ascii="Calibri" w:eastAsia="Calibri" w:hAnsi="Calibri" w:cs="Calibri"/>
        </w:rPr>
        <w:t xml:space="preserve">As recomendações dividem-se em </w:t>
      </w:r>
      <w:r w:rsidR="009809BE" w:rsidRPr="00C77CDF">
        <w:rPr>
          <w:rFonts w:ascii="Calibri" w:eastAsia="Calibri" w:hAnsi="Calibri" w:cs="Calibri"/>
        </w:rPr>
        <w:t>dois</w:t>
      </w:r>
      <w:r w:rsidRPr="00C77CDF">
        <w:rPr>
          <w:rFonts w:ascii="Calibri" w:eastAsia="Calibri" w:hAnsi="Calibri" w:cs="Calibri"/>
        </w:rPr>
        <w:t xml:space="preserve"> </w:t>
      </w:r>
      <w:r w:rsidR="001C799F" w:rsidRPr="00C77CDF">
        <w:rPr>
          <w:rFonts w:ascii="Calibri" w:eastAsia="Calibri" w:hAnsi="Calibri" w:cs="Calibri"/>
        </w:rPr>
        <w:t>eixos</w:t>
      </w:r>
      <w:r w:rsidRPr="00C77CDF">
        <w:rPr>
          <w:rFonts w:ascii="Calibri" w:eastAsia="Calibri" w:hAnsi="Calibri" w:cs="Calibri"/>
        </w:rPr>
        <w:t xml:space="preserve">: </w:t>
      </w:r>
      <w:r w:rsidR="009809BE" w:rsidRPr="00C77CDF">
        <w:rPr>
          <w:rFonts w:ascii="Calibri" w:eastAsia="Calibri" w:hAnsi="Calibri" w:cs="Calibri"/>
        </w:rPr>
        <w:t xml:space="preserve">enquanto o primeiro visa endereçar o estudo de viabilidade </w:t>
      </w:r>
      <w:r w:rsidR="0070751F" w:rsidRPr="00C77CDF">
        <w:rPr>
          <w:rFonts w:ascii="Calibri" w:eastAsia="Calibri" w:hAnsi="Calibri" w:cs="Calibri"/>
        </w:rPr>
        <w:t>elaborado pela Subsecretaria de Defesa Comercial e Interesse Público (SDCOM)</w:t>
      </w:r>
      <w:r w:rsidR="00CC073A" w:rsidRPr="00C77CDF">
        <w:rPr>
          <w:rFonts w:ascii="Calibri" w:eastAsia="Calibri" w:hAnsi="Calibri" w:cs="Calibri"/>
        </w:rPr>
        <w:t xml:space="preserve"> </w:t>
      </w:r>
      <w:r w:rsidR="009809BE" w:rsidRPr="00C77CDF">
        <w:rPr>
          <w:rFonts w:ascii="Calibri" w:eastAsia="Calibri" w:hAnsi="Calibri" w:cs="Calibri"/>
        </w:rPr>
        <w:t>sobre a transição entre os sistemas, o segundo diz respeito à nova minuta de Portaria que regulamenta</w:t>
      </w:r>
      <w:r w:rsidR="00233C9F" w:rsidRPr="00C77CDF">
        <w:rPr>
          <w:rFonts w:ascii="Calibri" w:eastAsia="Calibri" w:hAnsi="Calibri" w:cs="Calibri"/>
        </w:rPr>
        <w:t>rá</w:t>
      </w:r>
      <w:r w:rsidR="009809BE" w:rsidRPr="00C77CDF">
        <w:rPr>
          <w:rFonts w:ascii="Calibri" w:eastAsia="Calibri" w:hAnsi="Calibri" w:cs="Calibri"/>
        </w:rPr>
        <w:t xml:space="preserve"> a matéria.</w:t>
      </w:r>
      <w:r w:rsidR="00194417" w:rsidRPr="00C77CDF">
        <w:rPr>
          <w:rFonts w:ascii="Calibri" w:eastAsia="Calibri" w:hAnsi="Calibri" w:cs="Calibri"/>
        </w:rPr>
        <w:t xml:space="preserve"> Entre as propostas de aprimoramento, destaca-se a realização de treinamentos destinados à Administração Pública e ao público em geral, </w:t>
      </w:r>
      <w:r w:rsidR="00233C9F" w:rsidRPr="00C77CDF">
        <w:rPr>
          <w:rFonts w:ascii="Calibri" w:eastAsia="Calibri" w:hAnsi="Calibri" w:cs="Calibri"/>
        </w:rPr>
        <w:t>com vistas a instruir sobre o uso devido</w:t>
      </w:r>
      <w:r w:rsidR="00194417" w:rsidRPr="00C77CDF">
        <w:rPr>
          <w:rFonts w:ascii="Calibri" w:eastAsia="Calibri" w:hAnsi="Calibri" w:cs="Calibri"/>
        </w:rPr>
        <w:t xml:space="preserve"> da nova plataforma. Aliado a isso, propõe-se a</w:t>
      </w:r>
      <w:r w:rsidR="0070751F" w:rsidRPr="00C77CDF">
        <w:rPr>
          <w:rFonts w:ascii="Calibri" w:eastAsia="Calibri" w:hAnsi="Calibri" w:cs="Calibri"/>
        </w:rPr>
        <w:t xml:space="preserve"> busca pela</w:t>
      </w:r>
      <w:r w:rsidR="00194417" w:rsidRPr="00C77CDF">
        <w:rPr>
          <w:rFonts w:ascii="Calibri" w:eastAsia="Calibri" w:hAnsi="Calibri" w:cs="Calibri"/>
        </w:rPr>
        <w:t xml:space="preserve"> implementação de</w:t>
      </w:r>
      <w:r w:rsidR="00CC073A" w:rsidRPr="00C77CDF">
        <w:rPr>
          <w:rFonts w:ascii="Calibri" w:eastAsia="Calibri" w:hAnsi="Calibri" w:cs="Calibri"/>
        </w:rPr>
        <w:t xml:space="preserve"> um conjunto de</w:t>
      </w:r>
      <w:r w:rsidR="00194417" w:rsidRPr="00C77CDF">
        <w:rPr>
          <w:rFonts w:ascii="Calibri" w:eastAsia="Calibri" w:hAnsi="Calibri" w:cs="Calibri"/>
        </w:rPr>
        <w:t xml:space="preserve"> funcionalidades</w:t>
      </w:r>
      <w:r w:rsidR="00CC073A" w:rsidRPr="00C77CDF">
        <w:rPr>
          <w:rFonts w:ascii="Calibri" w:eastAsia="Calibri" w:hAnsi="Calibri" w:cs="Calibri"/>
        </w:rPr>
        <w:t>,</w:t>
      </w:r>
      <w:r w:rsidR="00194417" w:rsidRPr="00C77CDF">
        <w:rPr>
          <w:rFonts w:ascii="Calibri" w:eastAsia="Calibri" w:hAnsi="Calibri" w:cs="Calibri"/>
        </w:rPr>
        <w:t xml:space="preserve"> similares às </w:t>
      </w:r>
      <w:r w:rsidR="00CC073A" w:rsidRPr="00C77CDF">
        <w:rPr>
          <w:rFonts w:ascii="Calibri" w:eastAsia="Calibri" w:hAnsi="Calibri" w:cs="Calibri"/>
        </w:rPr>
        <w:t>do</w:t>
      </w:r>
      <w:r w:rsidR="00194417" w:rsidRPr="00C77CDF">
        <w:rPr>
          <w:rFonts w:ascii="Calibri" w:eastAsia="Calibri" w:hAnsi="Calibri" w:cs="Calibri"/>
        </w:rPr>
        <w:t xml:space="preserve"> SDD</w:t>
      </w:r>
      <w:r w:rsidR="00CC073A" w:rsidRPr="00C77CDF">
        <w:rPr>
          <w:rFonts w:ascii="Calibri" w:eastAsia="Calibri" w:hAnsi="Calibri" w:cs="Calibri"/>
        </w:rPr>
        <w:t>,</w:t>
      </w:r>
      <w:r w:rsidR="00194417" w:rsidRPr="00C77CDF">
        <w:rPr>
          <w:rFonts w:ascii="Calibri" w:eastAsia="Calibri" w:hAnsi="Calibri" w:cs="Calibri"/>
        </w:rPr>
        <w:t xml:space="preserve"> direcionadas aos processos de defesa comercial. Dessa maneira, busca-se garantir maior eficiência e produtividade nas atividades realizadas pela </w:t>
      </w:r>
      <w:r w:rsidR="001C799F" w:rsidRPr="00C77CDF">
        <w:rPr>
          <w:rFonts w:ascii="Calibri" w:eastAsia="Calibri" w:hAnsi="Calibri" w:cs="Calibri"/>
        </w:rPr>
        <w:t>autoridade investigadora brasileira em defesa comercial</w:t>
      </w:r>
      <w:r w:rsidR="00194417" w:rsidRPr="00C77CDF">
        <w:rPr>
          <w:rFonts w:ascii="Calibri" w:eastAsia="Calibri" w:hAnsi="Calibri" w:cs="Calibri"/>
        </w:rPr>
        <w:t xml:space="preserve">, além de </w:t>
      </w:r>
      <w:r w:rsidR="00CC073A" w:rsidRPr="00C77CDF">
        <w:rPr>
          <w:rFonts w:ascii="Calibri" w:eastAsia="Calibri" w:hAnsi="Calibri" w:cs="Calibri"/>
        </w:rPr>
        <w:t>oferecer</w:t>
      </w:r>
      <w:r w:rsidR="00194417" w:rsidRPr="00C77CDF">
        <w:rPr>
          <w:rFonts w:ascii="Calibri" w:eastAsia="Calibri" w:hAnsi="Calibri" w:cs="Calibri"/>
        </w:rPr>
        <w:t xml:space="preserve"> aos usuários uma melhor experiência no</w:t>
      </w:r>
      <w:r w:rsidR="00CC073A" w:rsidRPr="00C77CDF">
        <w:rPr>
          <w:rFonts w:ascii="Calibri" w:eastAsia="Calibri" w:hAnsi="Calibri" w:cs="Calibri"/>
        </w:rPr>
        <w:t xml:space="preserve"> âmbito do</w:t>
      </w:r>
      <w:r w:rsidR="00194417" w:rsidRPr="00C77CDF">
        <w:rPr>
          <w:rFonts w:ascii="Calibri" w:eastAsia="Calibri" w:hAnsi="Calibri" w:cs="Calibri"/>
        </w:rPr>
        <w:t xml:space="preserve"> SEI. </w:t>
      </w:r>
    </w:p>
    <w:p w14:paraId="21A12E04" w14:textId="1E0B46D0" w:rsidR="3F2CCBE0" w:rsidRPr="00C77CDF" w:rsidRDefault="3F2CCBE0" w:rsidP="3C620DC3">
      <w:pPr>
        <w:spacing w:line="257" w:lineRule="auto"/>
        <w:ind w:firstLine="709"/>
        <w:jc w:val="both"/>
      </w:pPr>
      <w:r w:rsidRPr="00C77CDF">
        <w:rPr>
          <w:rFonts w:ascii="Calibri" w:eastAsia="Calibri" w:hAnsi="Calibri" w:cs="Calibri"/>
        </w:rPr>
        <w:t xml:space="preserve">Certos de sua compreensão e atenção aos pontos acima relacionados e </w:t>
      </w:r>
      <w:r w:rsidR="001C799F" w:rsidRPr="00C77CDF">
        <w:rPr>
          <w:rFonts w:ascii="Calibri" w:eastAsia="Calibri" w:hAnsi="Calibri" w:cs="Calibri"/>
        </w:rPr>
        <w:t xml:space="preserve">àqueles </w:t>
      </w:r>
      <w:r w:rsidRPr="00C77CDF">
        <w:rPr>
          <w:rFonts w:ascii="Calibri" w:eastAsia="Calibri" w:hAnsi="Calibri" w:cs="Calibri"/>
        </w:rPr>
        <w:t>detalhados no anexo, a Fiesp coloca-se à disposição para continuar dialogando com a Secex em prol de uma reforma equilibrada do sistema de defesa comercial no Brasil.</w:t>
      </w:r>
    </w:p>
    <w:p w14:paraId="2041D98D" w14:textId="138529C5" w:rsidR="0070751F" w:rsidRPr="00C77CDF" w:rsidRDefault="3F2CCBE0" w:rsidP="3C620DC3">
      <w:pPr>
        <w:spacing w:line="257" w:lineRule="auto"/>
        <w:jc w:val="center"/>
      </w:pPr>
      <w:r w:rsidRPr="00C77CDF">
        <w:rPr>
          <w:rFonts w:ascii="Calibri" w:eastAsia="Calibri" w:hAnsi="Calibri" w:cs="Calibri"/>
        </w:rPr>
        <w:t xml:space="preserve">Cordialmente, </w:t>
      </w:r>
    </w:p>
    <w:p w14:paraId="4E789A8B" w14:textId="0ACB99EE" w:rsidR="3C620DC3" w:rsidRPr="00C77CDF" w:rsidRDefault="3F2CCBE0" w:rsidP="2B09FF87">
      <w:pPr>
        <w:spacing w:line="257" w:lineRule="auto"/>
        <w:jc w:val="center"/>
        <w:rPr>
          <w:rFonts w:ascii="Calibri" w:eastAsia="Calibri" w:hAnsi="Calibri" w:cs="Calibri"/>
        </w:rPr>
      </w:pPr>
      <w:r w:rsidRPr="00C77CDF">
        <w:rPr>
          <w:rFonts w:ascii="Calibri" w:eastAsia="Calibri" w:hAnsi="Calibri" w:cs="Calibri"/>
          <w:b/>
          <w:bCs/>
        </w:rPr>
        <w:t>Equipe de Defesa Comercial</w:t>
      </w:r>
      <w:r w:rsidRPr="00C77CDF">
        <w:br/>
      </w:r>
      <w:r w:rsidRPr="00C77CDF">
        <w:rPr>
          <w:rFonts w:ascii="Calibri" w:eastAsia="Calibri" w:hAnsi="Calibri" w:cs="Calibri"/>
        </w:rPr>
        <w:t>Departamento de Relações Internacionais e Comércio Exterior</w:t>
      </w:r>
      <w:r w:rsidRPr="00C77CDF">
        <w:br/>
      </w:r>
      <w:r w:rsidRPr="00C77CDF">
        <w:rPr>
          <w:rFonts w:ascii="Calibri" w:eastAsia="Calibri" w:hAnsi="Calibri" w:cs="Calibri"/>
        </w:rPr>
        <w:t>Federação das Indústrias do Estado de São Paulo</w:t>
      </w:r>
    </w:p>
    <w:p w14:paraId="3FDCF842" w14:textId="77777777" w:rsidR="0070751F" w:rsidRDefault="0070751F" w:rsidP="2B09FF87">
      <w:pPr>
        <w:spacing w:line="257" w:lineRule="auto"/>
        <w:jc w:val="center"/>
        <w:rPr>
          <w:rFonts w:ascii="Calibri" w:eastAsia="Calibri" w:hAnsi="Calibri" w:cs="Calibri"/>
          <w:b/>
        </w:rPr>
      </w:pPr>
    </w:p>
    <w:p w14:paraId="78876611" w14:textId="2C7F3D0D" w:rsidR="001F0C1B" w:rsidRDefault="40A683A1" w:rsidP="05475471">
      <w:pPr>
        <w:jc w:val="center"/>
        <w:rPr>
          <w:b/>
          <w:bCs/>
          <w:color w:val="C00000"/>
          <w:u w:val="single"/>
        </w:rPr>
      </w:pPr>
      <w:r w:rsidRPr="05475471">
        <w:rPr>
          <w:b/>
          <w:bCs/>
          <w:color w:val="C00000"/>
          <w:u w:val="single"/>
        </w:rPr>
        <w:lastRenderedPageBreak/>
        <w:t xml:space="preserve">COMENTÁRIOS E </w:t>
      </w:r>
      <w:r w:rsidR="00015A50">
        <w:rPr>
          <w:b/>
          <w:bCs/>
          <w:color w:val="C00000"/>
          <w:u w:val="single"/>
        </w:rPr>
        <w:t>SUGESTÕES DE APRIMORAMENTO</w:t>
      </w:r>
    </w:p>
    <w:p w14:paraId="7D73BBAC" w14:textId="25A12FF9" w:rsidR="2DEE9C2C" w:rsidRDefault="2DEE9C2C" w:rsidP="2DEE9C2C">
      <w:pPr>
        <w:jc w:val="center"/>
        <w:rPr>
          <w:b/>
          <w:bCs/>
          <w:color w:val="C00000"/>
          <w:u w:val="single"/>
        </w:rPr>
      </w:pPr>
    </w:p>
    <w:p w14:paraId="4CECE43B" w14:textId="2C18E3DE" w:rsidR="3EC095A9" w:rsidRPr="00C77CDF" w:rsidRDefault="006E6913" w:rsidP="2DEE9C2C">
      <w:pPr>
        <w:jc w:val="both"/>
        <w:rPr>
          <w:b/>
          <w:bCs/>
          <w:u w:val="single"/>
        </w:rPr>
      </w:pPr>
      <w:r w:rsidRPr="00C77CDF">
        <w:rPr>
          <w:b/>
          <w:bCs/>
          <w:u w:val="single"/>
        </w:rPr>
        <w:t xml:space="preserve">I. </w:t>
      </w:r>
      <w:r w:rsidR="3EC095A9" w:rsidRPr="00C77CDF">
        <w:rPr>
          <w:b/>
          <w:bCs/>
          <w:u w:val="single"/>
        </w:rPr>
        <w:t>ESTUDO DE VIABILIDADE</w:t>
      </w:r>
    </w:p>
    <w:p w14:paraId="76B9811D" w14:textId="45600D38" w:rsidR="7D29C015" w:rsidRPr="00C77CDF" w:rsidRDefault="7D29C015" w:rsidP="2DEE9C2C">
      <w:pPr>
        <w:jc w:val="both"/>
      </w:pPr>
      <w:r w:rsidRPr="00C77CDF">
        <w:t xml:space="preserve">Os comentários ao estudo de viabilidade estão organizados </w:t>
      </w:r>
      <w:r w:rsidR="5838B32C" w:rsidRPr="00C77CDF">
        <w:t xml:space="preserve">por tópicos temáticos acompanhados </w:t>
      </w:r>
      <w:r w:rsidR="00493230" w:rsidRPr="00C77CDF">
        <w:t>de</w:t>
      </w:r>
      <w:r w:rsidR="5838B32C" w:rsidRPr="00C77CDF">
        <w:t xml:space="preserve"> </w:t>
      </w:r>
      <w:r w:rsidR="00493230" w:rsidRPr="00C77CDF">
        <w:t>indicações</w:t>
      </w:r>
      <w:r w:rsidR="5838B32C" w:rsidRPr="00C77CDF">
        <w:t xml:space="preserve"> à</w:t>
      </w:r>
      <w:r w:rsidRPr="00C77CDF">
        <w:t xml:space="preserve"> divisão </w:t>
      </w:r>
      <w:r w:rsidR="5838B32C" w:rsidRPr="00C77CDF">
        <w:t>estabelecida</w:t>
      </w:r>
      <w:r w:rsidRPr="00C77CDF">
        <w:t xml:space="preserve"> no documento de referência.</w:t>
      </w:r>
    </w:p>
    <w:p w14:paraId="506662A5" w14:textId="22D971C0" w:rsidR="29FED682" w:rsidRPr="00C77CDF" w:rsidRDefault="29FED682" w:rsidP="29FED682">
      <w:pPr>
        <w:jc w:val="both"/>
        <w:rPr>
          <w:b/>
          <w:bCs/>
        </w:rPr>
      </w:pPr>
    </w:p>
    <w:p w14:paraId="662BA102" w14:textId="014CC201" w:rsidR="2908F746" w:rsidRPr="00C77CDF" w:rsidRDefault="2908F746" w:rsidP="0B7F9A26">
      <w:pPr>
        <w:jc w:val="both"/>
        <w:rPr>
          <w:b/>
          <w:bCs/>
        </w:rPr>
      </w:pPr>
      <w:r w:rsidRPr="00C77CDF">
        <w:rPr>
          <w:b/>
          <w:bCs/>
        </w:rPr>
        <w:t>Segurança das informações e ganhos de produtividade</w:t>
      </w:r>
    </w:p>
    <w:p w14:paraId="76C32F04" w14:textId="64060DB5" w:rsidR="00FD7381" w:rsidRPr="00C77CDF" w:rsidRDefault="0097396D" w:rsidP="0B7F9A26">
      <w:pPr>
        <w:pStyle w:val="PargrafodaLista"/>
        <w:numPr>
          <w:ilvl w:val="0"/>
          <w:numId w:val="7"/>
        </w:numPr>
        <w:jc w:val="both"/>
        <w:rPr>
          <w:b/>
          <w:bCs/>
        </w:rPr>
      </w:pPr>
      <w:r w:rsidRPr="00C77CDF">
        <w:t>Item</w:t>
      </w:r>
      <w:r w:rsidR="1588C373" w:rsidRPr="00C77CDF">
        <w:t>: 3.2.2.4 Aba processos/ anexar documento (SDD) → peticionamento intercorrente (SEI)</w:t>
      </w:r>
    </w:p>
    <w:p w14:paraId="12342C9B" w14:textId="5748D18A" w:rsidR="446E6F84" w:rsidRPr="00C77CDF" w:rsidRDefault="5C7C32AE" w:rsidP="2DEE9C2C">
      <w:pPr>
        <w:jc w:val="both"/>
      </w:pPr>
      <w:r w:rsidRPr="00C77CDF">
        <w:t xml:space="preserve">De acordo com a legislação vigente, os atos processuais realizados </w:t>
      </w:r>
      <w:r w:rsidR="6ED4EAD2" w:rsidRPr="00C77CDF">
        <w:t>em</w:t>
      </w:r>
      <w:r w:rsidRPr="00C77CDF">
        <w:t xml:space="preserve"> investigações de defesa comercial devem ser assinados digitalmente com a utilização de certificado digital emitido no âmbito da Infraestrutura de Chaves Públicas Brasileira </w:t>
      </w:r>
      <w:r w:rsidR="4D20EF17" w:rsidRPr="00C77CDF">
        <w:t xml:space="preserve">– </w:t>
      </w:r>
      <w:r w:rsidRPr="00C77CDF">
        <w:t>ICP-Brasil</w:t>
      </w:r>
      <w:r w:rsidR="446E6F84" w:rsidRPr="00C77CDF">
        <w:t xml:space="preserve"> (</w:t>
      </w:r>
      <w:r w:rsidR="6379092B" w:rsidRPr="00C77CDF">
        <w:t xml:space="preserve">vide </w:t>
      </w:r>
      <w:r w:rsidR="446E6F84" w:rsidRPr="00C77CDF">
        <w:t xml:space="preserve">Lei 12.995 de 18 de junho de 2014). Face à impossibilidade </w:t>
      </w:r>
      <w:r w:rsidR="36707327" w:rsidRPr="00C77CDF">
        <w:t xml:space="preserve">de assinatura com certificado digital pelos usuários externos no âmbito do </w:t>
      </w:r>
      <w:r w:rsidR="0C966CFD" w:rsidRPr="00C77CDF">
        <w:t>Sistema Eletrônico de Informações do Ministério da Economia (</w:t>
      </w:r>
      <w:r w:rsidR="36707327" w:rsidRPr="00C77CDF">
        <w:t>SEI</w:t>
      </w:r>
      <w:r w:rsidR="4D597E1D" w:rsidRPr="00C77CDF">
        <w:t>/ME</w:t>
      </w:r>
      <w:r w:rsidR="6BB393DB" w:rsidRPr="00C77CDF">
        <w:t>)</w:t>
      </w:r>
      <w:r w:rsidR="36707327" w:rsidRPr="00C77CDF">
        <w:t xml:space="preserve">, o estudo sugere que </w:t>
      </w:r>
      <w:r w:rsidR="00323929" w:rsidRPr="00C77CDF">
        <w:t xml:space="preserve">tal </w:t>
      </w:r>
      <w:r w:rsidR="7FF2DC93" w:rsidRPr="00C77CDF">
        <w:t xml:space="preserve">processo seja feito antes do </w:t>
      </w:r>
      <w:r w:rsidR="7FF2DC93" w:rsidRPr="00C77CDF">
        <w:rPr>
          <w:i/>
          <w:iCs/>
        </w:rPr>
        <w:t xml:space="preserve">upload </w:t>
      </w:r>
      <w:r w:rsidR="7FF2DC93" w:rsidRPr="00C77CDF">
        <w:t>dos documentos n</w:t>
      </w:r>
      <w:r w:rsidR="141EA36F" w:rsidRPr="00C77CDF">
        <w:t>a ferramenta</w:t>
      </w:r>
      <w:r w:rsidR="7FF2DC93" w:rsidRPr="00C77CDF">
        <w:t xml:space="preserve">. Dessa forma, conclui-se que </w:t>
      </w:r>
      <w:r w:rsidR="4EB667EB" w:rsidRPr="00C77CDF">
        <w:t>as disposições legais serão cumpridas.</w:t>
      </w:r>
    </w:p>
    <w:p w14:paraId="6DC9A989" w14:textId="7B84DC4F" w:rsidR="70BC6F5E" w:rsidRPr="00C77CDF" w:rsidRDefault="7ECB7A51" w:rsidP="7E604C60">
      <w:pPr>
        <w:jc w:val="both"/>
      </w:pPr>
      <w:r w:rsidRPr="00C77CDF">
        <w:t>Se por um lado a proposta de adaptação tem o potencial de atender aos requisitos previstos em lei, vislumbram-se cenários</w:t>
      </w:r>
      <w:r w:rsidR="6BC5FD2C" w:rsidRPr="00C77CDF">
        <w:t xml:space="preserve"> com impactos negativos decorrentes da nova sistemática. A utilização de certificados digitais em funcionalidade acoplada </w:t>
      </w:r>
      <w:r w:rsidR="7C6F67D9" w:rsidRPr="00C77CDF">
        <w:t>a sistemas eletrônicos possibilita a mitigação de riscos envolvendo a realização de assinaturas por pessoas que não estejam legalmente habilitadas para intervir nos processos</w:t>
      </w:r>
      <w:r w:rsidR="0C535362" w:rsidRPr="00C77CDF">
        <w:t xml:space="preserve">, </w:t>
      </w:r>
      <w:r w:rsidR="00453D9D" w:rsidRPr="00C77CDF">
        <w:t xml:space="preserve">assegurando ainda </w:t>
      </w:r>
      <w:r w:rsidR="64EEE788" w:rsidRPr="00C77CDF">
        <w:t>que os certificados digitais sejam válidos.</w:t>
      </w:r>
      <w:r w:rsidR="0C535362" w:rsidRPr="00C77CDF">
        <w:t xml:space="preserve"> </w:t>
      </w:r>
    </w:p>
    <w:p w14:paraId="503FB8CB" w14:textId="1BAA2E16" w:rsidR="00D25EE4" w:rsidRPr="00C77CDF" w:rsidRDefault="0C535362" w:rsidP="05475471">
      <w:pPr>
        <w:jc w:val="both"/>
      </w:pPr>
      <w:r w:rsidRPr="00C77CDF">
        <w:t xml:space="preserve">Com a mudança proposta </w:t>
      </w:r>
      <w:r w:rsidR="006B7CC6" w:rsidRPr="00C77CDF">
        <w:t>(</w:t>
      </w:r>
      <w:r w:rsidRPr="00C77CDF">
        <w:t xml:space="preserve">de </w:t>
      </w:r>
      <w:r w:rsidR="3C0661B2" w:rsidRPr="00C77CDF">
        <w:t xml:space="preserve">realização </w:t>
      </w:r>
      <w:r w:rsidRPr="00C77CDF">
        <w:t xml:space="preserve">de assinaturas </w:t>
      </w:r>
      <w:r w:rsidR="184A9237" w:rsidRPr="00C77CDF">
        <w:t xml:space="preserve">antes do </w:t>
      </w:r>
      <w:r w:rsidR="184A9237" w:rsidRPr="00C77CDF">
        <w:rPr>
          <w:i/>
          <w:iCs/>
        </w:rPr>
        <w:t>upload</w:t>
      </w:r>
      <w:r w:rsidR="184A9237" w:rsidRPr="00C77CDF">
        <w:t xml:space="preserve"> dos documentos</w:t>
      </w:r>
      <w:r w:rsidR="006B7CC6" w:rsidRPr="00C77CDF">
        <w:t>),</w:t>
      </w:r>
      <w:r w:rsidR="184A9237" w:rsidRPr="00C77CDF">
        <w:t xml:space="preserve"> </w:t>
      </w:r>
      <w:r w:rsidR="42314708" w:rsidRPr="00C77CDF">
        <w:t xml:space="preserve">esses riscos podem ser concretizados mais facilmente, seja por simples erro ou </w:t>
      </w:r>
      <w:r w:rsidR="3A46FCCC" w:rsidRPr="00C77CDF">
        <w:t xml:space="preserve">por </w:t>
      </w:r>
      <w:r w:rsidR="42314708" w:rsidRPr="00C77CDF">
        <w:t xml:space="preserve">ações intencionais. Uma </w:t>
      </w:r>
      <w:r w:rsidR="006B7CC6" w:rsidRPr="00C77CDF">
        <w:t>sugestão</w:t>
      </w:r>
      <w:r w:rsidR="42314708" w:rsidRPr="00C77CDF">
        <w:t xml:space="preserve"> para contornar esse emp</w:t>
      </w:r>
      <w:r w:rsidR="0EFAC679" w:rsidRPr="00C77CDF">
        <w:t xml:space="preserve">ecilho consistiria em </w:t>
      </w:r>
      <w:r w:rsidR="78D67885" w:rsidRPr="00C77CDF">
        <w:t>verificações</w:t>
      </w:r>
      <w:r w:rsidR="006B7CC6" w:rsidRPr="00C77CDF">
        <w:t>, pelos servidores do órgão,</w:t>
      </w:r>
      <w:r w:rsidR="78D67885" w:rsidRPr="00C77CDF">
        <w:t xml:space="preserve"> das</w:t>
      </w:r>
      <w:r w:rsidR="0EFAC679" w:rsidRPr="00C77CDF">
        <w:t xml:space="preserve"> criptografias geradas pelas certificações digitais. Entretanto, </w:t>
      </w:r>
      <w:r w:rsidR="006B7CC6" w:rsidRPr="00C77CDF">
        <w:t xml:space="preserve">cumpre ressaltar que, </w:t>
      </w:r>
      <w:r w:rsidR="0EFAC679" w:rsidRPr="00C77CDF">
        <w:t>a depender da fre</w:t>
      </w:r>
      <w:r w:rsidR="428E3764" w:rsidRPr="00C77CDF">
        <w:t xml:space="preserve">quência com que essas atividades </w:t>
      </w:r>
      <w:r w:rsidR="1E47C6F2" w:rsidRPr="00C77CDF">
        <w:t xml:space="preserve">tenham que </w:t>
      </w:r>
      <w:r w:rsidR="428E3764" w:rsidRPr="00C77CDF">
        <w:t xml:space="preserve">ser realizadas, a rotina </w:t>
      </w:r>
      <w:r w:rsidR="00453D9D" w:rsidRPr="00C77CDF">
        <w:t>da autoridade investigadora</w:t>
      </w:r>
      <w:r w:rsidR="749F004B" w:rsidRPr="00C77CDF">
        <w:t xml:space="preserve"> </w:t>
      </w:r>
      <w:r w:rsidR="48FD78E8" w:rsidRPr="00C77CDF">
        <w:t xml:space="preserve">pode </w:t>
      </w:r>
      <w:r w:rsidR="428E3764" w:rsidRPr="00C77CDF">
        <w:t xml:space="preserve">acabar sendo </w:t>
      </w:r>
      <w:r w:rsidR="738E7EA8" w:rsidRPr="00C77CDF">
        <w:t>afetada, podendo, inclusive, reduzir o</w:t>
      </w:r>
      <w:r w:rsidR="3A9C4DDC" w:rsidRPr="00C77CDF">
        <w:t xml:space="preserve">s ganhos de produtividade </w:t>
      </w:r>
      <w:r w:rsidR="586B8F44" w:rsidRPr="00C77CDF">
        <w:t xml:space="preserve">projetados </w:t>
      </w:r>
      <w:r w:rsidR="3A9C4DDC" w:rsidRPr="00C77CDF">
        <w:t xml:space="preserve">– um dos principais propósitos </w:t>
      </w:r>
      <w:r w:rsidR="1D4A9EF7" w:rsidRPr="00C77CDF">
        <w:t xml:space="preserve">visados </w:t>
      </w:r>
      <w:r w:rsidR="3A9C4DDC" w:rsidRPr="00C77CDF">
        <w:t>com a transição</w:t>
      </w:r>
      <w:r w:rsidR="3670EA27" w:rsidRPr="00C77CDF">
        <w:t xml:space="preserve"> – face à necessidade de que os documentos e atos protocolados nos autos dos processos sejam autênticos e </w:t>
      </w:r>
      <w:r w:rsidR="01366DC4" w:rsidRPr="00C77CDF">
        <w:t>válidos.</w:t>
      </w:r>
    </w:p>
    <w:p w14:paraId="1229A9A5" w14:textId="6A8DF7A4" w:rsidR="2E65D842" w:rsidRPr="00C77CDF" w:rsidRDefault="2E65D842" w:rsidP="2E65D842">
      <w:pPr>
        <w:jc w:val="both"/>
      </w:pPr>
    </w:p>
    <w:p w14:paraId="5B8969C1" w14:textId="523640A5" w:rsidR="00F23B6E" w:rsidRPr="00C77CDF" w:rsidRDefault="2BB0F3C9" w:rsidP="63AE41EB">
      <w:pPr>
        <w:jc w:val="both"/>
        <w:rPr>
          <w:b/>
        </w:rPr>
      </w:pPr>
      <w:r w:rsidRPr="00C77CDF">
        <w:rPr>
          <w:b/>
        </w:rPr>
        <w:t xml:space="preserve">Perda de autonomia da </w:t>
      </w:r>
      <w:r w:rsidRPr="00C77CDF">
        <w:rPr>
          <w:b/>
          <w:bCs/>
        </w:rPr>
        <w:t>S</w:t>
      </w:r>
      <w:r w:rsidR="119D5847" w:rsidRPr="00C77CDF">
        <w:rPr>
          <w:b/>
          <w:bCs/>
        </w:rPr>
        <w:t xml:space="preserve">ubsecretaria de Defesa Comercial e Interesse Público (Sdcom) </w:t>
      </w:r>
      <w:r w:rsidRPr="00C77CDF">
        <w:rPr>
          <w:b/>
          <w:bCs/>
        </w:rPr>
        <w:t>no</w:t>
      </w:r>
      <w:r w:rsidRPr="00C77CDF">
        <w:rPr>
          <w:b/>
        </w:rPr>
        <w:t xml:space="preserve"> manuseio do sistema</w:t>
      </w:r>
    </w:p>
    <w:p w14:paraId="6ECFB18A" w14:textId="7D8D0181" w:rsidR="2BB0F3C9" w:rsidRPr="00C77CDF" w:rsidRDefault="00192ABA" w:rsidP="63AE41EB">
      <w:pPr>
        <w:pStyle w:val="PargrafodaLista"/>
        <w:numPr>
          <w:ilvl w:val="0"/>
          <w:numId w:val="8"/>
        </w:numPr>
        <w:jc w:val="both"/>
        <w:rPr>
          <w:rFonts w:eastAsiaTheme="minorEastAsia"/>
          <w:b/>
          <w:bCs/>
        </w:rPr>
      </w:pPr>
      <w:r w:rsidRPr="00C77CDF">
        <w:t xml:space="preserve">Item </w:t>
      </w:r>
      <w:r w:rsidR="2BB0F3C9" w:rsidRPr="00C77CDF">
        <w:t>3.2.2.4 Aba processos/ anexar documento (SDD) → peticionamento intercorrente (SEI)</w:t>
      </w:r>
    </w:p>
    <w:p w14:paraId="7FA0F4DE" w14:textId="257FBC68" w:rsidR="2CFE3592" w:rsidRPr="00C77CDF" w:rsidRDefault="00192ABA" w:rsidP="63AE41EB">
      <w:pPr>
        <w:pStyle w:val="PargrafodaLista"/>
        <w:numPr>
          <w:ilvl w:val="0"/>
          <w:numId w:val="8"/>
        </w:numPr>
        <w:jc w:val="both"/>
        <w:rPr>
          <w:rFonts w:eastAsiaTheme="minorEastAsia"/>
          <w:b/>
          <w:bCs/>
        </w:rPr>
      </w:pPr>
      <w:r w:rsidRPr="00C77CDF">
        <w:t xml:space="preserve">Item </w:t>
      </w:r>
      <w:r w:rsidR="2CFE3592" w:rsidRPr="00C77CDF">
        <w:t>3.2.3.10 Aba processos / Controle de Usuários (SDD) → Não há funcionalidade equivalente para usuários internos da SDCOM (SEI)</w:t>
      </w:r>
    </w:p>
    <w:p w14:paraId="5EAAAE14" w14:textId="306BB614" w:rsidR="2CFE3592" w:rsidRPr="00C77CDF" w:rsidRDefault="00192ABA" w:rsidP="63AE41EB">
      <w:pPr>
        <w:pStyle w:val="PargrafodaLista"/>
        <w:numPr>
          <w:ilvl w:val="0"/>
          <w:numId w:val="8"/>
        </w:numPr>
        <w:jc w:val="both"/>
        <w:rPr>
          <w:b/>
          <w:bCs/>
        </w:rPr>
      </w:pPr>
      <w:r w:rsidRPr="00C77CDF">
        <w:t xml:space="preserve">Item </w:t>
      </w:r>
      <w:r w:rsidR="2CFE3592" w:rsidRPr="00C77CDF">
        <w:t>3.2.3.12 Aba processos / Administração (SDD) → Não há funcionalidade equivalente para usuários internos da SDCOM (SEI)</w:t>
      </w:r>
    </w:p>
    <w:p w14:paraId="652AF356" w14:textId="0D15276F" w:rsidR="00980E99" w:rsidRPr="00C77CDF" w:rsidRDefault="388BC124" w:rsidP="63AE41EB">
      <w:pPr>
        <w:jc w:val="both"/>
      </w:pPr>
      <w:r w:rsidRPr="00C77CDF">
        <w:t>Dentre os objetivos mencionados com a transição do Sistema DECOM Digital (SDD) para o SEI/ME</w:t>
      </w:r>
      <w:r w:rsidR="006B7CC6" w:rsidRPr="00C77CDF">
        <w:t>,</w:t>
      </w:r>
      <w:r w:rsidRPr="00C77CDF">
        <w:t xml:space="preserve"> </w:t>
      </w:r>
      <w:r w:rsidR="00453D9D" w:rsidRPr="00C77CDF">
        <w:t xml:space="preserve">figura </w:t>
      </w:r>
      <w:r w:rsidRPr="00C77CDF">
        <w:t>o de aumentar a produtividade do corpo técnico responsável pelas investigações de defesa comercial</w:t>
      </w:r>
      <w:r w:rsidR="0F2BD11D" w:rsidRPr="00C77CDF">
        <w:t xml:space="preserve">. A transição viabilizaria esses ganhos, dentre outras maneiras, pelo </w:t>
      </w:r>
      <w:r w:rsidR="72B49816" w:rsidRPr="00C77CDF">
        <w:t xml:space="preserve">deslocamento da gestão </w:t>
      </w:r>
      <w:r w:rsidR="72B49816" w:rsidRPr="00C77CDF">
        <w:lastRenderedPageBreak/>
        <w:t xml:space="preserve">da plataforma utilizada nos processos, visto que o SDD é administrado pela própria </w:t>
      </w:r>
      <w:r w:rsidR="009075E7" w:rsidRPr="00C77CDF">
        <w:t>SDCOM</w:t>
      </w:r>
      <w:r w:rsidR="72B49816" w:rsidRPr="00C77CDF">
        <w:t>, enquanto o SEI/ME é gerido em âm</w:t>
      </w:r>
      <w:r w:rsidR="68BAAB38" w:rsidRPr="00C77CDF">
        <w:t xml:space="preserve">bito </w:t>
      </w:r>
      <w:r w:rsidR="02AD18CF" w:rsidRPr="00C77CDF">
        <w:t>ministerial</w:t>
      </w:r>
      <w:r w:rsidR="68BAAB38" w:rsidRPr="00C77CDF">
        <w:t>.</w:t>
      </w:r>
    </w:p>
    <w:p w14:paraId="2922C2E1" w14:textId="457E345C" w:rsidR="68BAAB38" w:rsidRPr="00C77CDF" w:rsidRDefault="68BAAB38" w:rsidP="02B19384">
      <w:pPr>
        <w:jc w:val="both"/>
      </w:pPr>
      <w:r w:rsidRPr="00C77CDF">
        <w:t xml:space="preserve">A mudança, contudo, envolve perdas reconhecidas no âmbito do estudo </w:t>
      </w:r>
      <w:r w:rsidR="435A1A1E" w:rsidRPr="00C77CDF">
        <w:t xml:space="preserve">e </w:t>
      </w:r>
      <w:r w:rsidRPr="00C77CDF">
        <w:t xml:space="preserve">que se relacionam ao fato </w:t>
      </w:r>
      <w:r w:rsidR="0995589E" w:rsidRPr="00C77CDF">
        <w:t>de o</w:t>
      </w:r>
      <w:r w:rsidRPr="00C77CDF">
        <w:t xml:space="preserve"> SDD ter sido desenvolvido e customizado para atender às necessidades dos usuários </w:t>
      </w:r>
      <w:r w:rsidR="6671F319" w:rsidRPr="00C77CDF">
        <w:t>do Sistema Brasileiro de Defesa Comercial</w:t>
      </w:r>
      <w:r w:rsidRPr="00C77CDF">
        <w:t xml:space="preserve">. </w:t>
      </w:r>
      <w:r w:rsidR="589C99E8" w:rsidRPr="00C77CDF">
        <w:t xml:space="preserve">Além de não ter sido </w:t>
      </w:r>
      <w:r w:rsidR="006B7CC6" w:rsidRPr="00C77CDF">
        <w:t>elaborado</w:t>
      </w:r>
      <w:r w:rsidR="589C99E8" w:rsidRPr="00C77CDF">
        <w:t xml:space="preserve"> para atender às particularidades dos procedimentos de defesa comercial, </w:t>
      </w:r>
      <w:r w:rsidR="37AEE01B" w:rsidRPr="00C77CDF">
        <w:t>o</w:t>
      </w:r>
      <w:r w:rsidR="589C99E8" w:rsidRPr="00C77CDF">
        <w:t xml:space="preserve"> SEI/ME </w:t>
      </w:r>
      <w:r w:rsidR="3FC7F104" w:rsidRPr="00C77CDF">
        <w:t xml:space="preserve">é formatado de tal maneira que restringe a autonomia da </w:t>
      </w:r>
      <w:r w:rsidR="009075E7" w:rsidRPr="00C77CDF">
        <w:t>SDCOM</w:t>
      </w:r>
      <w:r w:rsidR="009075E7" w:rsidRPr="00C77CDF" w:rsidDel="009075E7">
        <w:t xml:space="preserve"> </w:t>
      </w:r>
      <w:r w:rsidR="3FC7F104" w:rsidRPr="00C77CDF">
        <w:t xml:space="preserve">e do próprio Ministério da Economia </w:t>
      </w:r>
      <w:r w:rsidR="006B7CC6" w:rsidRPr="00C77CDF">
        <w:t xml:space="preserve">na proposição de </w:t>
      </w:r>
      <w:r w:rsidR="0CF92E25" w:rsidRPr="00C77CDF">
        <w:t xml:space="preserve">mudanças e </w:t>
      </w:r>
      <w:r w:rsidR="006B7CC6" w:rsidRPr="00C77CDF">
        <w:t>na realização de</w:t>
      </w:r>
      <w:r w:rsidR="0CF92E25" w:rsidRPr="00C77CDF">
        <w:t xml:space="preserve"> certas atividades, além d</w:t>
      </w:r>
      <w:r w:rsidR="554D64D7" w:rsidRPr="00C77CDF">
        <w:t>o fato de seu suporte não ser especializado em processos de defesa comercial</w:t>
      </w:r>
      <w:r w:rsidR="1E73A792" w:rsidRPr="00C77CDF">
        <w:t>.</w:t>
      </w:r>
    </w:p>
    <w:p w14:paraId="3E05CDA2" w14:textId="06D66DBA" w:rsidR="1E73A792" w:rsidRPr="00C77CDF" w:rsidRDefault="1E73A792" w:rsidP="05475471">
      <w:pPr>
        <w:jc w:val="both"/>
      </w:pPr>
      <w:r w:rsidRPr="00C77CDF">
        <w:t>Em primeiro lugar, cumpre mencionar a impossibilidade de que sejam promovidas mudanças no código-fonte do SEI/ME pelo Ministério da Economia, em razão da ferramenta ter sido cedida pelo Tribunal Regional Federa</w:t>
      </w:r>
      <w:r w:rsidR="4CF045C1" w:rsidRPr="00C77CDF">
        <w:t xml:space="preserve">l da </w:t>
      </w:r>
      <w:r w:rsidR="00453D9D" w:rsidRPr="00C77CDF">
        <w:t xml:space="preserve">4ª </w:t>
      </w:r>
      <w:r w:rsidR="4CF045C1" w:rsidRPr="00C77CDF">
        <w:t>Região. Esse impedimento é di</w:t>
      </w:r>
      <w:r w:rsidR="5E2FDA3B" w:rsidRPr="00C77CDF">
        <w:t xml:space="preserve">scutido no estudo quando </w:t>
      </w:r>
      <w:r w:rsidR="00453D9D" w:rsidRPr="00C77CDF">
        <w:t>se conclui</w:t>
      </w:r>
      <w:r w:rsidR="5E2FDA3B" w:rsidRPr="00C77CDF">
        <w:t xml:space="preserve"> sobre a impossibilidade de </w:t>
      </w:r>
      <w:r w:rsidR="5AAD2A95" w:rsidRPr="00C77CDF">
        <w:t>que</w:t>
      </w:r>
      <w:r w:rsidR="5E2FDA3B" w:rsidRPr="00C77CDF">
        <w:t xml:space="preserve"> assinaturas com certificado digital por usuários externos </w:t>
      </w:r>
      <w:r w:rsidR="0019EF63" w:rsidRPr="00C77CDF">
        <w:t xml:space="preserve">sejam realizadas </w:t>
      </w:r>
      <w:r w:rsidR="5E2FDA3B" w:rsidRPr="00C77CDF">
        <w:t>no SEI/ME:</w:t>
      </w:r>
    </w:p>
    <w:p w14:paraId="2B7A7D8E" w14:textId="6C5B12EA" w:rsidR="584D75F9" w:rsidRPr="00C77CDF" w:rsidRDefault="584D75F9" w:rsidP="05475471">
      <w:pPr>
        <w:ind w:left="2124"/>
        <w:jc w:val="both"/>
        <w:rPr>
          <w:i/>
          <w:iCs/>
        </w:rPr>
      </w:pPr>
      <w:r w:rsidRPr="00C77CDF">
        <w:rPr>
          <w:i/>
          <w:iCs/>
        </w:rPr>
        <w:t xml:space="preserve">"Além disso, nos foi informado que a modificação pelo Ministério da Economia da funcionalidade assinatura para possibilitar a assinatura de documentos por usuários externos via certificado digital não seria possível, uma vez que se trata de mudança em regras de negócio do sistema, ensejando em alteração do seu código-fonte. Alterações desta natureza por parte do Ministério da Economia seriam vedadas pelo Acordo de Cooperação Técnica nº 2/2019, firmado com o TRF-4." </w:t>
      </w:r>
      <w:r w:rsidR="13D4F7E5" w:rsidRPr="00C77CDF">
        <w:rPr>
          <w:i/>
          <w:iCs/>
        </w:rPr>
        <w:t xml:space="preserve"> (p. 50).</w:t>
      </w:r>
    </w:p>
    <w:p w14:paraId="2CA671AC" w14:textId="4BDDFD47" w:rsidR="001667F4" w:rsidRPr="00C77CDF" w:rsidRDefault="13D4F7E5" w:rsidP="001667F4">
      <w:pPr>
        <w:jc w:val="both"/>
      </w:pPr>
      <w:r w:rsidRPr="00C77CDF">
        <w:t xml:space="preserve">Limitações </w:t>
      </w:r>
      <w:r w:rsidR="006313FC" w:rsidRPr="00C77CDF">
        <w:t xml:space="preserve">atualmente </w:t>
      </w:r>
      <w:r w:rsidR="00A45F8D" w:rsidRPr="00C77CDF">
        <w:t xml:space="preserve">inexistentes </w:t>
      </w:r>
      <w:r w:rsidR="006313FC" w:rsidRPr="00C77CDF">
        <w:t xml:space="preserve"> no âmbito do SDD </w:t>
      </w:r>
      <w:r w:rsidRPr="00C77CDF">
        <w:t xml:space="preserve">também são </w:t>
      </w:r>
      <w:r w:rsidR="00A45F8D" w:rsidRPr="00C77CDF">
        <w:t xml:space="preserve">vislumbradas </w:t>
      </w:r>
      <w:r w:rsidRPr="00C77CDF">
        <w:t>nas atividades</w:t>
      </w:r>
      <w:r w:rsidR="36AE7AEC" w:rsidRPr="00C77CDF">
        <w:t xml:space="preserve"> de usuários internos (servidores</w:t>
      </w:r>
      <w:r w:rsidR="036C54B2" w:rsidRPr="00C77CDF">
        <w:t xml:space="preserve"> da </w:t>
      </w:r>
      <w:r w:rsidR="009075E7" w:rsidRPr="00C77CDF">
        <w:t>SDCOM</w:t>
      </w:r>
      <w:r w:rsidR="36AE7AEC" w:rsidRPr="00C77CDF">
        <w:t>)</w:t>
      </w:r>
      <w:r w:rsidR="00A45F8D" w:rsidRPr="00C77CDF">
        <w:t>, caso ocorra uma eventual transição de sistemas, com destaque para as funcionalidades</w:t>
      </w:r>
      <w:r w:rsidR="5E3FA07B" w:rsidRPr="00C77CDF">
        <w:t xml:space="preserve">: </w:t>
      </w:r>
      <w:r w:rsidR="4219E43E" w:rsidRPr="00C77CDF">
        <w:t>(</w:t>
      </w:r>
      <w:r w:rsidR="4219E43E" w:rsidRPr="00C77CDF">
        <w:rPr>
          <w:b/>
          <w:bCs/>
        </w:rPr>
        <w:t>i</w:t>
      </w:r>
      <w:r w:rsidR="4219E43E" w:rsidRPr="00C77CDF">
        <w:t xml:space="preserve">) </w:t>
      </w:r>
      <w:r w:rsidR="5E3FA07B" w:rsidRPr="00C77CDF">
        <w:t>controle de usuários (função que permite consultas sobre usuários cadastrados no sistema, bloqueios, exclu</w:t>
      </w:r>
      <w:r w:rsidR="102CC25D" w:rsidRPr="00C77CDF">
        <w:t>sões</w:t>
      </w:r>
      <w:r w:rsidR="5E3FA07B" w:rsidRPr="00C77CDF">
        <w:t>, ed</w:t>
      </w:r>
      <w:r w:rsidR="5EC4CE36" w:rsidRPr="00C77CDF">
        <w:t xml:space="preserve">ições </w:t>
      </w:r>
      <w:r w:rsidR="006313FC" w:rsidRPr="00C77CDF">
        <w:t>d</w:t>
      </w:r>
      <w:r w:rsidR="5E3FA07B" w:rsidRPr="00C77CDF">
        <w:t>os dados dos usuários e indica</w:t>
      </w:r>
      <w:r w:rsidR="398772F0" w:rsidRPr="00C77CDF">
        <w:t xml:space="preserve">ções sobre a sua natureza - </w:t>
      </w:r>
      <w:r w:rsidR="5E3FA07B" w:rsidRPr="00C77CDF">
        <w:t>usuário</w:t>
      </w:r>
      <w:r w:rsidR="41AA10F9" w:rsidRPr="00C77CDF">
        <w:t xml:space="preserve"> </w:t>
      </w:r>
      <w:r w:rsidR="5E3FA07B" w:rsidRPr="00C77CDF">
        <w:t>externo ou interno</w:t>
      </w:r>
      <w:r w:rsidR="6728F046" w:rsidRPr="00C77CDF">
        <w:t>)</w:t>
      </w:r>
      <w:r w:rsidR="5845694B" w:rsidRPr="00C77CDF">
        <w:t>; (</w:t>
      </w:r>
      <w:proofErr w:type="spellStart"/>
      <w:r w:rsidR="5845694B" w:rsidRPr="00C77CDF">
        <w:rPr>
          <w:b/>
          <w:bCs/>
        </w:rPr>
        <w:t>ii</w:t>
      </w:r>
      <w:proofErr w:type="spellEnd"/>
      <w:r w:rsidR="5845694B" w:rsidRPr="00C77CDF">
        <w:t>) edição de dados (função que permite alterações nos dados apresentados no painel de investigação</w:t>
      </w:r>
      <w:r w:rsidR="052A482E" w:rsidRPr="00C77CDF">
        <w:t>); e (</w:t>
      </w:r>
      <w:proofErr w:type="spellStart"/>
      <w:r w:rsidR="052A482E" w:rsidRPr="00C77CDF">
        <w:rPr>
          <w:b/>
          <w:bCs/>
        </w:rPr>
        <w:t>iii</w:t>
      </w:r>
      <w:proofErr w:type="spellEnd"/>
      <w:r w:rsidR="052A482E" w:rsidRPr="00C77CDF">
        <w:t xml:space="preserve">) administração (função que permite </w:t>
      </w:r>
      <w:r w:rsidR="0366C5F3" w:rsidRPr="00C77CDF">
        <w:t>a customização do sistema). Essas atividades seriam</w:t>
      </w:r>
      <w:r w:rsidR="16851FA7" w:rsidRPr="00C77CDF">
        <w:t>, na nova sistemática,</w:t>
      </w:r>
      <w:r w:rsidR="0366C5F3" w:rsidRPr="00C77CDF">
        <w:t xml:space="preserve"> de responsabilidade das unidades de protocolo do Ministério da Economia </w:t>
      </w:r>
      <w:r w:rsidR="101E8943" w:rsidRPr="00C77CDF">
        <w:t xml:space="preserve">(i e </w:t>
      </w:r>
      <w:proofErr w:type="spellStart"/>
      <w:r w:rsidR="101E8943" w:rsidRPr="00C77CDF">
        <w:t>ii</w:t>
      </w:r>
      <w:proofErr w:type="spellEnd"/>
      <w:r w:rsidR="101E8943" w:rsidRPr="00C77CDF">
        <w:t>) ou da Administração do SEI junto à pasta</w:t>
      </w:r>
      <w:r w:rsidR="480F4B67" w:rsidRPr="00C77CDF">
        <w:t xml:space="preserve"> (</w:t>
      </w:r>
      <w:proofErr w:type="spellStart"/>
      <w:r w:rsidR="480F4B67" w:rsidRPr="00C77CDF">
        <w:t>iii</w:t>
      </w:r>
      <w:proofErr w:type="spellEnd"/>
      <w:r w:rsidR="480F4B67" w:rsidRPr="00C77CDF">
        <w:t>)</w:t>
      </w:r>
      <w:r w:rsidR="101E8943" w:rsidRPr="00C77CDF">
        <w:t xml:space="preserve">. </w:t>
      </w:r>
      <w:r w:rsidR="001667F4" w:rsidRPr="00C77CDF">
        <w:t xml:space="preserve"> </w:t>
      </w:r>
    </w:p>
    <w:p w14:paraId="4DBBC55F" w14:textId="35DD37BB" w:rsidR="00444EA3" w:rsidRPr="00C77CDF" w:rsidRDefault="00444EA3" w:rsidP="05475471">
      <w:pPr>
        <w:jc w:val="both"/>
      </w:pPr>
      <w:r w:rsidRPr="00C77CDF">
        <w:t>Diante desse contexto</w:t>
      </w:r>
      <w:r w:rsidR="1064BEB2" w:rsidRPr="00C77CDF">
        <w:t>, é razoável considerar que</w:t>
      </w:r>
      <w:r w:rsidR="006313FC" w:rsidRPr="00C77CDF">
        <w:t>,</w:t>
      </w:r>
      <w:r w:rsidR="001667F4" w:rsidRPr="00C77CDF">
        <w:t xml:space="preserve"> caso haja a decisão pela transição de sistemas,</w:t>
      </w:r>
      <w:r w:rsidR="1064BEB2" w:rsidRPr="00C77CDF">
        <w:t xml:space="preserve"> durante a </w:t>
      </w:r>
      <w:r w:rsidR="001667F4" w:rsidRPr="00C77CDF">
        <w:t>implementação da mudança</w:t>
      </w:r>
      <w:r w:rsidR="1064BEB2" w:rsidRPr="00C77CDF">
        <w:t xml:space="preserve">, </w:t>
      </w:r>
      <w:r w:rsidR="1F88AAD3" w:rsidRPr="00C77CDF">
        <w:t xml:space="preserve">a equipe de suporte do SEI/ME e as partes interessadas vivenciem dificuldades </w:t>
      </w:r>
      <w:r w:rsidR="70EDB788" w:rsidRPr="00C77CDF">
        <w:t>de adaptação. De um lado, os administradores do sistema podem não estar capacitados para</w:t>
      </w:r>
      <w:r w:rsidR="2DACA722" w:rsidRPr="00C77CDF">
        <w:t xml:space="preserve"> atender de forma satisfatória eventuais dúvidas sobre a </w:t>
      </w:r>
      <w:r w:rsidR="00A45F8D" w:rsidRPr="00C77CDF">
        <w:t xml:space="preserve">sua </w:t>
      </w:r>
      <w:r w:rsidR="2DACA722" w:rsidRPr="00C77CDF">
        <w:t>utilização para processos de defesa comercial</w:t>
      </w:r>
      <w:r w:rsidR="1939DB47" w:rsidRPr="00C77CDF">
        <w:t>. As partes interessadas, por sua vez, poderão apr</w:t>
      </w:r>
      <w:r w:rsidR="04D54886" w:rsidRPr="00C77CDF">
        <w:t>esentar dificuldades para r</w:t>
      </w:r>
      <w:r w:rsidR="40CB00D6" w:rsidRPr="00C77CDF">
        <w:t xml:space="preserve">ealizar o protocolo de informações e documentos em moldes uniformizados para posterior análise pela </w:t>
      </w:r>
      <w:r w:rsidR="009075E7" w:rsidRPr="00C77CDF">
        <w:t>SDCOM</w:t>
      </w:r>
      <w:r w:rsidR="40CB00D6" w:rsidRPr="00C77CDF">
        <w:t>.</w:t>
      </w:r>
    </w:p>
    <w:p w14:paraId="4ACF6FF8" w14:textId="58BB8A5A" w:rsidR="1064BEB2" w:rsidRPr="00C77CDF" w:rsidRDefault="00D14604" w:rsidP="05475471">
      <w:pPr>
        <w:jc w:val="both"/>
      </w:pPr>
      <w:r w:rsidRPr="00C77CDF">
        <w:t>Sugerimos</w:t>
      </w:r>
      <w:r w:rsidR="009733B7" w:rsidRPr="00C77CDF">
        <w:t>, portanto,</w:t>
      </w:r>
      <w:r w:rsidRPr="00C77CDF">
        <w:t xml:space="preserve"> a realização de</w:t>
      </w:r>
      <w:r w:rsidR="3716A98E" w:rsidRPr="00C77CDF">
        <w:t xml:space="preserve"> treinamentos internos</w:t>
      </w:r>
      <w:r w:rsidR="006313FC" w:rsidRPr="00C77CDF">
        <w:t xml:space="preserve"> destinados</w:t>
      </w:r>
      <w:r w:rsidR="3716A98E" w:rsidRPr="00C77CDF">
        <w:t xml:space="preserve"> à Administr</w:t>
      </w:r>
      <w:r w:rsidR="6EA64A95" w:rsidRPr="00C77CDF">
        <w:t xml:space="preserve">ação Pública </w:t>
      </w:r>
      <w:r w:rsidR="3716A98E" w:rsidRPr="00C77CDF">
        <w:t xml:space="preserve">e </w:t>
      </w:r>
      <w:r w:rsidR="006313FC" w:rsidRPr="00C77CDF">
        <w:t>a</w:t>
      </w:r>
      <w:r w:rsidR="3716A98E" w:rsidRPr="00C77CDF">
        <w:t xml:space="preserve">o público </w:t>
      </w:r>
      <w:r w:rsidR="3401D4D1" w:rsidRPr="00C77CDF">
        <w:t>em geral com o objetivo de disseminar o conhecimento sobre a plataforma, as diretrizes específicas envolvendo processos de def</w:t>
      </w:r>
      <w:r w:rsidR="4C19F7F4" w:rsidRPr="00C77CDF">
        <w:t>esa comercial e</w:t>
      </w:r>
      <w:r w:rsidR="006313FC" w:rsidRPr="00C77CDF">
        <w:t xml:space="preserve"> as</w:t>
      </w:r>
      <w:r w:rsidR="4C19F7F4" w:rsidRPr="00C77CDF">
        <w:t xml:space="preserve"> boas práticas para preenchimento e submissão de informações pelas partes interessadas.</w:t>
      </w:r>
      <w:r w:rsidR="009733B7" w:rsidRPr="00C77CDF">
        <w:t xml:space="preserve"> Tais recomendações visam </w:t>
      </w:r>
      <w:r w:rsidR="00EB52B9" w:rsidRPr="00C77CDF">
        <w:t>mitigar os eventuais danos à produtividade e</w:t>
      </w:r>
      <w:r w:rsidR="000526BF" w:rsidRPr="00C77CDF">
        <w:t xml:space="preserve"> à</w:t>
      </w:r>
      <w:r w:rsidR="00EB52B9" w:rsidRPr="00C77CDF">
        <w:t xml:space="preserve"> navegabilidade</w:t>
      </w:r>
      <w:r w:rsidR="000526BF" w:rsidRPr="00C77CDF">
        <w:t>, respectivamente,</w:t>
      </w:r>
      <w:r w:rsidR="00EB52B9" w:rsidRPr="00C77CDF">
        <w:t xml:space="preserve"> do</w:t>
      </w:r>
      <w:r w:rsidR="000526BF" w:rsidRPr="00C77CDF">
        <w:t>s</w:t>
      </w:r>
      <w:r w:rsidR="00EB52B9" w:rsidRPr="00C77CDF">
        <w:t xml:space="preserve"> usuário</w:t>
      </w:r>
      <w:r w:rsidR="000526BF" w:rsidRPr="00C77CDF">
        <w:t>s internos e externos, face às</w:t>
      </w:r>
      <w:r w:rsidR="00EB52B9" w:rsidRPr="00C77CDF">
        <w:t xml:space="preserve"> limitações informáticas</w:t>
      </w:r>
      <w:r w:rsidR="000526BF" w:rsidRPr="00C77CDF">
        <w:t xml:space="preserve"> do SEI</w:t>
      </w:r>
      <w:r w:rsidR="00EB52B9" w:rsidRPr="00C77CDF">
        <w:t xml:space="preserve"> </w:t>
      </w:r>
      <w:r w:rsidR="009E7228" w:rsidRPr="00C77CDF">
        <w:t xml:space="preserve">para atender às necessidades impostas </w:t>
      </w:r>
      <w:r w:rsidR="006B7CC6" w:rsidRPr="00C77CDF">
        <w:t xml:space="preserve">pela esfera </w:t>
      </w:r>
      <w:r w:rsidR="009E7228" w:rsidRPr="00C77CDF">
        <w:t>da defesa comercial</w:t>
      </w:r>
      <w:r w:rsidR="00EB52B9" w:rsidRPr="00C77CDF">
        <w:t>.</w:t>
      </w:r>
      <w:r w:rsidR="009733B7" w:rsidRPr="00C77CDF">
        <w:t xml:space="preserve"> </w:t>
      </w:r>
    </w:p>
    <w:p w14:paraId="2DB78D11" w14:textId="77777777" w:rsidR="006B7CC6" w:rsidRPr="00C77CDF" w:rsidRDefault="006B7CC6" w:rsidP="05475471">
      <w:pPr>
        <w:jc w:val="both"/>
      </w:pPr>
    </w:p>
    <w:p w14:paraId="1017AB8C" w14:textId="260E4632" w:rsidR="19631AF8" w:rsidRPr="00C77CDF" w:rsidRDefault="19631AF8" w:rsidP="19631AF8"/>
    <w:p w14:paraId="33A6BB3F" w14:textId="1C8980E3" w:rsidR="003F2EA3" w:rsidRPr="00C77CDF" w:rsidRDefault="00FD7381">
      <w:pPr>
        <w:rPr>
          <w:b/>
          <w:bCs/>
        </w:rPr>
      </w:pPr>
      <w:r w:rsidRPr="00C77CDF">
        <w:rPr>
          <w:b/>
          <w:bCs/>
        </w:rPr>
        <w:lastRenderedPageBreak/>
        <w:t>Perda de funcionalidades que contribuíam para a usabilidade</w:t>
      </w:r>
    </w:p>
    <w:p w14:paraId="1E6A2E30" w14:textId="608FF6C9" w:rsidR="003F2EA3" w:rsidRPr="00C77CDF" w:rsidRDefault="0097396D" w:rsidP="24B70876">
      <w:pPr>
        <w:pStyle w:val="PargrafodaLista"/>
        <w:numPr>
          <w:ilvl w:val="0"/>
          <w:numId w:val="5"/>
        </w:numPr>
        <w:jc w:val="both"/>
      </w:pPr>
      <w:r w:rsidRPr="00C77CDF">
        <w:t xml:space="preserve">Item </w:t>
      </w:r>
      <w:r w:rsidR="003F2EA3" w:rsidRPr="00C77CDF">
        <w:t>3.2.1 Funcionalidade petição de abertura (SDD) → Peticionamento de processo novo (SEI)</w:t>
      </w:r>
    </w:p>
    <w:p w14:paraId="01447EC1" w14:textId="72C45F4C" w:rsidR="003F2EA3" w:rsidRPr="00C77CDF" w:rsidRDefault="003F2EA3" w:rsidP="003F2EA3">
      <w:pPr>
        <w:jc w:val="both"/>
      </w:pPr>
      <w:r w:rsidRPr="00C77CDF">
        <w:t>No SDD, a funcionalidade “Petição de Abertura” possibilita que o usuário crie</w:t>
      </w:r>
      <w:r w:rsidR="00850A66" w:rsidRPr="00C77CDF">
        <w:t xml:space="preserve"> um</w:t>
      </w:r>
      <w:r w:rsidRPr="00C77CDF">
        <w:t xml:space="preserve"> processo de defesa comercial e submeta as informações relevantes </w:t>
      </w:r>
      <w:r w:rsidR="00850A66" w:rsidRPr="00C77CDF">
        <w:t>a este</w:t>
      </w:r>
      <w:r w:rsidRPr="00C77CDF">
        <w:t>. Com a transição para o SEI, a ferramenta para abertura de processo de defesa comercial será a de “Peticionamento de Processo Novo”.</w:t>
      </w:r>
      <w:r w:rsidR="3D1AC7B1" w:rsidRPr="00C77CDF">
        <w:t xml:space="preserve"> </w:t>
      </w:r>
      <w:r w:rsidRPr="00C77CDF">
        <w:t>D</w:t>
      </w:r>
      <w:r w:rsidR="00EB7292" w:rsidRPr="00C77CDF">
        <w:t xml:space="preserve">entre </w:t>
      </w:r>
      <w:r w:rsidRPr="00C77CDF">
        <w:t xml:space="preserve">as mudanças entre os dois instrumentos, destaca-se que o SEI demanda que os usuários realizem o </w:t>
      </w:r>
      <w:r w:rsidRPr="00C77CDF">
        <w:rPr>
          <w:i/>
          <w:iCs/>
        </w:rPr>
        <w:t xml:space="preserve">upload </w:t>
      </w:r>
      <w:r w:rsidRPr="00C77CDF">
        <w:t xml:space="preserve">dos documentos em até </w:t>
      </w:r>
      <w:r w:rsidR="00EB7292" w:rsidRPr="00C77CDF">
        <w:t>uma hora</w:t>
      </w:r>
      <w:r w:rsidR="7421168B" w:rsidRPr="00C77CDF">
        <w:t xml:space="preserve">, </w:t>
      </w:r>
      <w:r w:rsidR="00EB7292" w:rsidRPr="00C77CDF">
        <w:t>sob pena de que</w:t>
      </w:r>
      <w:r w:rsidR="7421168B" w:rsidRPr="00C77CDF">
        <w:t xml:space="preserve"> todos os </w:t>
      </w:r>
      <w:r w:rsidRPr="00C77CDF">
        <w:t xml:space="preserve">arquivos </w:t>
      </w:r>
      <w:r w:rsidR="00EB7292" w:rsidRPr="00C77CDF">
        <w:t xml:space="preserve">sejam </w:t>
      </w:r>
      <w:r w:rsidRPr="00C77CDF">
        <w:t xml:space="preserve">automaticamente eliminados. No SDD, </w:t>
      </w:r>
      <w:r w:rsidR="74FEA7DF" w:rsidRPr="00C77CDF">
        <w:t>em contrapartida, é</w:t>
      </w:r>
      <w:r w:rsidRPr="00C77CDF">
        <w:t xml:space="preserve"> possível que o </w:t>
      </w:r>
      <w:r w:rsidRPr="00C77CDF">
        <w:rPr>
          <w:i/>
          <w:iCs/>
        </w:rPr>
        <w:t xml:space="preserve">upload </w:t>
      </w:r>
      <w:r w:rsidR="1D4C5202" w:rsidRPr="00C77CDF">
        <w:t xml:space="preserve">de documentos seja </w:t>
      </w:r>
      <w:r w:rsidRPr="00C77CDF">
        <w:t xml:space="preserve">feito parcialmente e </w:t>
      </w:r>
      <w:r w:rsidR="00EB7292" w:rsidRPr="00C77CDF">
        <w:t xml:space="preserve">com a possibilidade de </w:t>
      </w:r>
      <w:r w:rsidR="0C20A09C" w:rsidRPr="00C77CDF">
        <w:t>posterior finalização</w:t>
      </w:r>
      <w:r w:rsidR="00EB7292" w:rsidRPr="00C77CDF">
        <w:t xml:space="preserve"> da inserção das informações</w:t>
      </w:r>
      <w:r w:rsidR="0C20A09C" w:rsidRPr="00C77CDF">
        <w:t xml:space="preserve"> pelo </w:t>
      </w:r>
      <w:r w:rsidRPr="00C77CDF">
        <w:t xml:space="preserve">usuário </w:t>
      </w:r>
      <w:r w:rsidR="00EB7292" w:rsidRPr="00C77CDF">
        <w:t xml:space="preserve">– </w:t>
      </w:r>
      <w:r w:rsidRPr="00C77CDF">
        <w:t xml:space="preserve">não havendo, portanto, limitação </w:t>
      </w:r>
      <w:r w:rsidR="00850A66" w:rsidRPr="00C77CDF">
        <w:t>temporal</w:t>
      </w:r>
      <w:r w:rsidRPr="00C77CDF">
        <w:t>.</w:t>
      </w:r>
    </w:p>
    <w:p w14:paraId="7B342C99" w14:textId="7AA6DDA0" w:rsidR="00027405" w:rsidRPr="00C77CDF" w:rsidRDefault="003F2EA3" w:rsidP="003F2EA3">
      <w:pPr>
        <w:jc w:val="both"/>
      </w:pPr>
      <w:r w:rsidRPr="00C77CDF">
        <w:t xml:space="preserve">Com o novo sistema, portanto, </w:t>
      </w:r>
      <w:r w:rsidR="14C06AD9" w:rsidRPr="00C77CDF">
        <w:t xml:space="preserve">os usuários serão demandados a se organizar previamente para </w:t>
      </w:r>
      <w:r w:rsidR="00EB7292" w:rsidRPr="00C77CDF">
        <w:t xml:space="preserve">a </w:t>
      </w:r>
      <w:r w:rsidR="14C06AD9" w:rsidRPr="00C77CDF">
        <w:t>submissão única dos documentos necessários ao peticionamento</w:t>
      </w:r>
      <w:r w:rsidRPr="00C77CDF">
        <w:t xml:space="preserve">. Essa nova exigência configura-se como um obstáculo </w:t>
      </w:r>
      <w:r w:rsidR="004B32E4" w:rsidRPr="00C77CDF">
        <w:t>a uma maior</w:t>
      </w:r>
      <w:r w:rsidRPr="00C77CDF">
        <w:t xml:space="preserve"> praticidade </w:t>
      </w:r>
      <w:r w:rsidR="004B32E4" w:rsidRPr="00C77CDF">
        <w:t>n</w:t>
      </w:r>
      <w:r w:rsidRPr="00C77CDF">
        <w:t xml:space="preserve">o processo de carregamento de arquivos, dado que não será possível a interrupção no </w:t>
      </w:r>
      <w:r w:rsidRPr="00C77CDF">
        <w:rPr>
          <w:i/>
          <w:iCs/>
        </w:rPr>
        <w:t xml:space="preserve">upload </w:t>
      </w:r>
      <w:r w:rsidRPr="00C77CDF">
        <w:t>caso, por exemplo, ocorra</w:t>
      </w:r>
      <w:r w:rsidR="33B5C842" w:rsidRPr="00C77CDF">
        <w:t>m</w:t>
      </w:r>
      <w:r w:rsidRPr="00C77CDF">
        <w:t xml:space="preserve"> imprevisto</w:t>
      </w:r>
      <w:r w:rsidR="60385F61" w:rsidRPr="00C77CDF">
        <w:t>s</w:t>
      </w:r>
      <w:r w:rsidRPr="00C77CDF">
        <w:t>. Nesse sentido, entende-se que a limitação de tempo representa uma perda de usabilidade ao usuário</w:t>
      </w:r>
      <w:r w:rsidR="00444EA3" w:rsidRPr="00C77CDF">
        <w:t xml:space="preserve">. Face à eventual impossibilidade de </w:t>
      </w:r>
      <w:r w:rsidR="00EB7292" w:rsidRPr="00C77CDF">
        <w:t>revisão desse aspecto no âmbito da nova dinâmica de submissão de informações à autoridade investigadora</w:t>
      </w:r>
      <w:r w:rsidR="00444EA3" w:rsidRPr="00C77CDF">
        <w:t>, recomenda-se: (i) a elaboração de material informativo acerca da inserção de documentos pelo usuário no sistema; e (</w:t>
      </w:r>
      <w:proofErr w:type="spellStart"/>
      <w:r w:rsidR="00444EA3" w:rsidRPr="00C77CDF">
        <w:t>ii</w:t>
      </w:r>
      <w:proofErr w:type="spellEnd"/>
      <w:r w:rsidR="00444EA3" w:rsidRPr="00C77CDF">
        <w:t>) realização de treinamentos sobre a organização prévia de documentos</w:t>
      </w:r>
      <w:r w:rsidRPr="00C77CDF">
        <w:t>.</w:t>
      </w:r>
    </w:p>
    <w:p w14:paraId="4408138F" w14:textId="77777777" w:rsidR="00027405" w:rsidRPr="00C77CDF" w:rsidRDefault="00027405" w:rsidP="00027405">
      <w:pPr>
        <w:pStyle w:val="PargrafodaLista"/>
        <w:jc w:val="both"/>
        <w:rPr>
          <w:rFonts w:eastAsiaTheme="minorEastAsia"/>
        </w:rPr>
      </w:pPr>
    </w:p>
    <w:p w14:paraId="133B05EA" w14:textId="57466E73" w:rsidR="003F2EA3" w:rsidRPr="00C77CDF" w:rsidRDefault="0097396D" w:rsidP="05475471">
      <w:pPr>
        <w:pStyle w:val="PargrafodaLista"/>
        <w:numPr>
          <w:ilvl w:val="0"/>
          <w:numId w:val="4"/>
        </w:numPr>
        <w:jc w:val="both"/>
        <w:rPr>
          <w:rFonts w:eastAsiaTheme="minorEastAsia"/>
        </w:rPr>
      </w:pPr>
      <w:r w:rsidRPr="00C77CDF">
        <w:t xml:space="preserve">Item </w:t>
      </w:r>
      <w:r w:rsidR="003F2EA3" w:rsidRPr="00C77CDF">
        <w:t>3.2.2.2 Aba processos/Painel da investigação (SDD) → Não há funcionalidade correspondente (SEI)</w:t>
      </w:r>
      <w:r w:rsidR="5725CD28" w:rsidRPr="00C77CDF">
        <w:t xml:space="preserve"> </w:t>
      </w:r>
    </w:p>
    <w:p w14:paraId="70FFCA12" w14:textId="25EA52F9" w:rsidR="003F2EA3" w:rsidRPr="00C77CDF" w:rsidRDefault="0097396D" w:rsidP="05475471">
      <w:pPr>
        <w:pStyle w:val="PargrafodaLista"/>
        <w:numPr>
          <w:ilvl w:val="0"/>
          <w:numId w:val="4"/>
        </w:numPr>
        <w:jc w:val="both"/>
      </w:pPr>
      <w:r w:rsidRPr="00C77CDF">
        <w:t xml:space="preserve">Item </w:t>
      </w:r>
      <w:r w:rsidR="5725CD28" w:rsidRPr="00C77CDF">
        <w:t>3.2.3.2</w:t>
      </w:r>
      <w:r w:rsidR="00820A98" w:rsidRPr="00C77CDF">
        <w:t xml:space="preserve"> </w:t>
      </w:r>
      <w:r w:rsidR="5725CD28" w:rsidRPr="00C77CDF">
        <w:t>Aba processos/Painel da investigação (SDD) → Não há funcionalidade equivalente (SEI)</w:t>
      </w:r>
    </w:p>
    <w:p w14:paraId="1FF7FFD7" w14:textId="7F45DEF5" w:rsidR="003F2EA3" w:rsidRPr="00C77CDF" w:rsidRDefault="003F2EA3" w:rsidP="05475471">
      <w:pPr>
        <w:jc w:val="both"/>
      </w:pPr>
      <w:r w:rsidRPr="00C77CDF">
        <w:t xml:space="preserve">A funcionalidade “painel da investigação”, </w:t>
      </w:r>
      <w:r w:rsidR="0024717C" w:rsidRPr="00C77CDF">
        <w:t>quando voltada</w:t>
      </w:r>
      <w:r w:rsidRPr="00C77CDF">
        <w:t xml:space="preserve"> para usuário externo</w:t>
      </w:r>
      <w:r w:rsidR="0024717C" w:rsidRPr="00C77CDF">
        <w:t xml:space="preserve"> no SDD,</w:t>
      </w:r>
      <w:r w:rsidRPr="00C77CDF">
        <w:t xml:space="preserve"> contém os dados do processo de defesa comercial e permite o acesso às seguintes ferramentas: </w:t>
      </w:r>
      <w:r w:rsidRPr="00C77CDF">
        <w:rPr>
          <w:b/>
          <w:bCs/>
        </w:rPr>
        <w:t>(i)</w:t>
      </w:r>
      <w:r w:rsidRPr="00C77CDF">
        <w:t xml:space="preserve"> Autos Restritos; </w:t>
      </w:r>
      <w:r w:rsidRPr="00C77CDF">
        <w:rPr>
          <w:b/>
          <w:bCs/>
        </w:rPr>
        <w:t>(</w:t>
      </w:r>
      <w:proofErr w:type="spellStart"/>
      <w:r w:rsidRPr="00C77CDF">
        <w:rPr>
          <w:b/>
          <w:bCs/>
        </w:rPr>
        <w:t>ii</w:t>
      </w:r>
      <w:proofErr w:type="spellEnd"/>
      <w:r w:rsidRPr="00C77CDF">
        <w:rPr>
          <w:b/>
          <w:bCs/>
        </w:rPr>
        <w:t>)</w:t>
      </w:r>
      <w:r w:rsidRPr="00C77CDF">
        <w:t xml:space="preserve"> Anexar Documentos; e </w:t>
      </w:r>
      <w:r w:rsidRPr="00C77CDF">
        <w:rPr>
          <w:b/>
          <w:bCs/>
        </w:rPr>
        <w:t>(</w:t>
      </w:r>
      <w:proofErr w:type="spellStart"/>
      <w:r w:rsidRPr="00C77CDF">
        <w:rPr>
          <w:b/>
          <w:bCs/>
        </w:rPr>
        <w:t>iii</w:t>
      </w:r>
      <w:proofErr w:type="spellEnd"/>
      <w:r w:rsidRPr="00C77CDF">
        <w:rPr>
          <w:b/>
          <w:bCs/>
        </w:rPr>
        <w:t>)</w:t>
      </w:r>
      <w:r w:rsidRPr="00C77CDF">
        <w:t xml:space="preserve"> Meus Documentos. </w:t>
      </w:r>
      <w:proofErr w:type="spellStart"/>
      <w:r w:rsidRPr="00C77CDF">
        <w:t>No</w:t>
      </w:r>
      <w:proofErr w:type="spellEnd"/>
      <w:r w:rsidRPr="00C77CDF">
        <w:t xml:space="preserve"> SEI, </w:t>
      </w:r>
      <w:r w:rsidR="00D941A6" w:rsidRPr="00C77CDF">
        <w:t xml:space="preserve">a </w:t>
      </w:r>
      <w:r w:rsidRPr="00C77CDF">
        <w:t xml:space="preserve">funcionalidade </w:t>
      </w:r>
      <w:r w:rsidR="00D941A6" w:rsidRPr="00C77CDF">
        <w:t xml:space="preserve">de “painel de investigação” </w:t>
      </w:r>
      <w:r w:rsidRPr="00C77CDF">
        <w:t xml:space="preserve">não possui correspondência. </w:t>
      </w:r>
      <w:r w:rsidR="6C6BD8DA" w:rsidRPr="00C77CDF">
        <w:t xml:space="preserve">O usuário interno, por sua vez, </w:t>
      </w:r>
      <w:r w:rsidR="00C93DE2" w:rsidRPr="00C77CDF">
        <w:t>dispõe da possibilidade de acessar</w:t>
      </w:r>
      <w:r w:rsidR="00444EA3" w:rsidRPr="00C77CDF">
        <w:t xml:space="preserve"> no SDD</w:t>
      </w:r>
      <w:r w:rsidR="6C6BD8DA" w:rsidRPr="00C77CDF">
        <w:t xml:space="preserve">, além das abas mencionadas, </w:t>
      </w:r>
      <w:r w:rsidR="24AA27A8" w:rsidRPr="00C77CDF">
        <w:t xml:space="preserve">as funções: </w:t>
      </w:r>
      <w:r w:rsidR="24AA27A8" w:rsidRPr="00C77CDF">
        <w:rPr>
          <w:b/>
          <w:bCs/>
        </w:rPr>
        <w:t>(</w:t>
      </w:r>
      <w:proofErr w:type="spellStart"/>
      <w:r w:rsidR="24AA27A8" w:rsidRPr="00C77CDF">
        <w:rPr>
          <w:b/>
          <w:bCs/>
        </w:rPr>
        <w:t>iv</w:t>
      </w:r>
      <w:proofErr w:type="spellEnd"/>
      <w:r w:rsidR="24AA27A8" w:rsidRPr="00C77CDF">
        <w:rPr>
          <w:b/>
          <w:bCs/>
        </w:rPr>
        <w:t>)</w:t>
      </w:r>
      <w:r w:rsidR="24AA27A8" w:rsidRPr="00C77CDF">
        <w:t xml:space="preserve"> Autos Confidenciais; </w:t>
      </w:r>
      <w:r w:rsidR="24AA27A8" w:rsidRPr="00C77CDF">
        <w:rPr>
          <w:b/>
          <w:bCs/>
        </w:rPr>
        <w:t xml:space="preserve">(v) </w:t>
      </w:r>
      <w:r w:rsidR="24AA27A8" w:rsidRPr="00C77CDF">
        <w:t xml:space="preserve">Analisar Documento; </w:t>
      </w:r>
      <w:r w:rsidR="24AA27A8" w:rsidRPr="00C77CDF">
        <w:rPr>
          <w:b/>
          <w:bCs/>
        </w:rPr>
        <w:t>(vi)</w:t>
      </w:r>
      <w:r w:rsidR="24AA27A8" w:rsidRPr="00C77CDF">
        <w:t xml:space="preserve"> Atribuir Responsabilidades; </w:t>
      </w:r>
      <w:r w:rsidR="24AA27A8" w:rsidRPr="00C77CDF">
        <w:rPr>
          <w:b/>
          <w:bCs/>
        </w:rPr>
        <w:t>(</w:t>
      </w:r>
      <w:proofErr w:type="spellStart"/>
      <w:r w:rsidR="24AA27A8" w:rsidRPr="00C77CDF">
        <w:rPr>
          <w:b/>
          <w:bCs/>
        </w:rPr>
        <w:t>vii</w:t>
      </w:r>
      <w:proofErr w:type="spellEnd"/>
      <w:r w:rsidR="24AA27A8" w:rsidRPr="00C77CDF">
        <w:rPr>
          <w:b/>
          <w:bCs/>
        </w:rPr>
        <w:t>)</w:t>
      </w:r>
      <w:r w:rsidR="24AA27A8" w:rsidRPr="00C77CDF">
        <w:t xml:space="preserve"> Habilitar Parte Interessada; </w:t>
      </w:r>
      <w:r w:rsidR="24AA27A8" w:rsidRPr="00C77CDF">
        <w:rPr>
          <w:b/>
          <w:bCs/>
        </w:rPr>
        <w:t>(</w:t>
      </w:r>
      <w:proofErr w:type="spellStart"/>
      <w:r w:rsidR="24AA27A8" w:rsidRPr="00C77CDF">
        <w:rPr>
          <w:b/>
          <w:bCs/>
        </w:rPr>
        <w:t>viii</w:t>
      </w:r>
      <w:proofErr w:type="spellEnd"/>
      <w:r w:rsidR="24AA27A8" w:rsidRPr="00C77CDF">
        <w:rPr>
          <w:b/>
          <w:bCs/>
        </w:rPr>
        <w:t xml:space="preserve">) </w:t>
      </w:r>
      <w:r w:rsidR="24AA27A8" w:rsidRPr="00C77CDF">
        <w:t xml:space="preserve">Habilitar representante; e </w:t>
      </w:r>
      <w:r w:rsidR="24AA27A8" w:rsidRPr="00C77CDF">
        <w:rPr>
          <w:b/>
          <w:bCs/>
        </w:rPr>
        <w:t>(</w:t>
      </w:r>
      <w:proofErr w:type="spellStart"/>
      <w:r w:rsidR="24AA27A8" w:rsidRPr="00C77CDF">
        <w:rPr>
          <w:b/>
          <w:bCs/>
        </w:rPr>
        <w:t>ix</w:t>
      </w:r>
      <w:proofErr w:type="spellEnd"/>
      <w:r w:rsidR="24AA27A8" w:rsidRPr="00C77CDF">
        <w:rPr>
          <w:b/>
          <w:bCs/>
        </w:rPr>
        <w:t>)</w:t>
      </w:r>
      <w:r w:rsidR="24AA27A8" w:rsidRPr="00C77CDF">
        <w:t xml:space="preserve"> Encerrar Processo.</w:t>
      </w:r>
    </w:p>
    <w:p w14:paraId="605DFA2E" w14:textId="20F7F467" w:rsidR="00B035BD" w:rsidRPr="00C77CDF" w:rsidRDefault="00C93DE2" w:rsidP="00C93DE2">
      <w:pPr>
        <w:jc w:val="both"/>
      </w:pPr>
      <w:r w:rsidRPr="00C77CDF">
        <w:t>Em síntese, a</w:t>
      </w:r>
      <w:r w:rsidR="003F2EA3" w:rsidRPr="00C77CDF">
        <w:t xml:space="preserve"> ferramenta de “painel da investigação” permite que o</w:t>
      </w:r>
      <w:r w:rsidR="00B94C65" w:rsidRPr="00C77CDF">
        <w:t>s</w:t>
      </w:r>
      <w:r w:rsidR="003F2EA3" w:rsidRPr="00C77CDF">
        <w:t xml:space="preserve"> usuário</w:t>
      </w:r>
      <w:r w:rsidR="00B94C65" w:rsidRPr="00C77CDF">
        <w:t>s, internos e externos,</w:t>
      </w:r>
      <w:r w:rsidR="003F2EA3" w:rsidRPr="00C77CDF">
        <w:t xml:space="preserve"> navegue</w:t>
      </w:r>
      <w:r w:rsidR="00B94C65" w:rsidRPr="00C77CDF">
        <w:t>m</w:t>
      </w:r>
      <w:r w:rsidR="003F2EA3" w:rsidRPr="00C77CDF">
        <w:t xml:space="preserve"> de forma mais rápida e prática entre as abas do sistema, contribuindo, portanto, para uma melhor experiência para as partes interessadas. </w:t>
      </w:r>
      <w:r w:rsidR="00B035BD" w:rsidRPr="00C77CDF">
        <w:t xml:space="preserve">Considerando haver perda na otimização do tempo e na navegação </w:t>
      </w:r>
      <w:r w:rsidRPr="00C77CDF">
        <w:t>face às</w:t>
      </w:r>
      <w:r w:rsidR="00B035BD" w:rsidRPr="00C77CDF">
        <w:t xml:space="preserve"> funcionalidades disponíveis, propõe-se a criação de dispositivo semelhante no SEI, responsável por agrupar as diversas ferramentas do sistema em uma só aba. </w:t>
      </w:r>
    </w:p>
    <w:p w14:paraId="7FB78D4A" w14:textId="592AC0DE" w:rsidR="05475471" w:rsidRPr="00C77CDF" w:rsidRDefault="05475471" w:rsidP="05475471">
      <w:pPr>
        <w:jc w:val="both"/>
      </w:pPr>
    </w:p>
    <w:p w14:paraId="2EA8AABE" w14:textId="15B7771E" w:rsidR="003F2EA3" w:rsidRPr="00C77CDF" w:rsidRDefault="0097396D" w:rsidP="24B70876">
      <w:pPr>
        <w:pStyle w:val="PargrafodaLista"/>
        <w:numPr>
          <w:ilvl w:val="0"/>
          <w:numId w:val="3"/>
        </w:numPr>
        <w:jc w:val="both"/>
      </w:pPr>
      <w:r w:rsidRPr="00C77CDF">
        <w:t xml:space="preserve">Item </w:t>
      </w:r>
      <w:r w:rsidR="003F2EA3" w:rsidRPr="00C77CDF">
        <w:t>3.2.2.6 Aba processos/Pendências (SDD) → Não há funcionalidade equivalente no SEI</w:t>
      </w:r>
    </w:p>
    <w:p w14:paraId="17AAF7DE" w14:textId="3A616475" w:rsidR="003F2EA3" w:rsidRPr="00C77CDF" w:rsidRDefault="003F2EA3" w:rsidP="003F2EA3">
      <w:pPr>
        <w:jc w:val="both"/>
      </w:pPr>
      <w:r w:rsidRPr="00C77CDF">
        <w:t>No SDD, a página de “Pendências” indica quais as pendências relacionadas aos arquivos do processo. Com a transição para o SEI</w:t>
      </w:r>
      <w:r w:rsidR="359AAE6D" w:rsidRPr="00C77CDF">
        <w:t>/ME</w:t>
      </w:r>
      <w:r w:rsidRPr="00C77CDF">
        <w:t xml:space="preserve">, as partes interessadas serão notificadas de quaisquer pendências, desconformidades e/ou pedidos de complementação </w:t>
      </w:r>
      <w:r w:rsidR="00A5513B" w:rsidRPr="00C77CDF">
        <w:t xml:space="preserve">por meio </w:t>
      </w:r>
      <w:r w:rsidRPr="00C77CDF">
        <w:t>de ofício, como já é realizado atualmente pela SDCOM.</w:t>
      </w:r>
    </w:p>
    <w:p w14:paraId="73FA8023" w14:textId="607C0D75" w:rsidR="003F2EA3" w:rsidRPr="00C77CDF" w:rsidRDefault="003F2EA3" w:rsidP="05475471">
      <w:pPr>
        <w:jc w:val="both"/>
      </w:pPr>
      <w:r w:rsidRPr="00C77CDF">
        <w:lastRenderedPageBreak/>
        <w:t xml:space="preserve">Tendo em vista essa </w:t>
      </w:r>
      <w:r w:rsidR="009E7228" w:rsidRPr="00C77CDF">
        <w:t>mudança</w:t>
      </w:r>
      <w:r w:rsidRPr="00C77CDF">
        <w:t>, destaca-se que a existência de aba específica que compile as pendências referente</w:t>
      </w:r>
      <w:r w:rsidR="0577F7BB" w:rsidRPr="00C77CDF">
        <w:t>s</w:t>
      </w:r>
      <w:r w:rsidRPr="00C77CDF">
        <w:t xml:space="preserve"> aos documentos do processo permite</w:t>
      </w:r>
      <w:r w:rsidR="0B0A2DB0" w:rsidRPr="00C77CDF">
        <w:t>, no SDD,</w:t>
      </w:r>
      <w:r w:rsidRPr="00C77CDF">
        <w:t xml:space="preserve"> que o usuário tenha acesso a essas informações mais rapidamente. </w:t>
      </w:r>
      <w:r w:rsidR="009E7228" w:rsidRPr="00C77CDF">
        <w:t xml:space="preserve">Com isso, a </w:t>
      </w:r>
      <w:r w:rsidR="5DD8538C" w:rsidRPr="00C77CDF">
        <w:t>funcionalidade contribui para que</w:t>
      </w:r>
      <w:r w:rsidRPr="00C77CDF">
        <w:t xml:space="preserve"> partes interessadas realizem as alterações necessárias de maneira mais céler</w:t>
      </w:r>
      <w:r w:rsidR="0FF68732" w:rsidRPr="00C77CDF">
        <w:t>e</w:t>
      </w:r>
      <w:r w:rsidR="00A5513B" w:rsidRPr="00C77CDF">
        <w:t>, de modo</w:t>
      </w:r>
      <w:r w:rsidR="0FF68732" w:rsidRPr="00C77CDF">
        <w:t xml:space="preserve"> </w:t>
      </w:r>
      <w:r w:rsidR="00A5513B" w:rsidRPr="00C77CDF">
        <w:t>qu</w:t>
      </w:r>
      <w:r w:rsidR="0FF68732" w:rsidRPr="00C77CDF">
        <w:t>e a falta de correspondência no SEI/ME</w:t>
      </w:r>
      <w:r w:rsidR="009E7228" w:rsidRPr="00C77CDF">
        <w:t xml:space="preserve"> para tal funcionalidade</w:t>
      </w:r>
      <w:r w:rsidR="52C22307" w:rsidRPr="00C77CDF">
        <w:t xml:space="preserve"> configura uma perda em termos de usabilidade.</w:t>
      </w:r>
    </w:p>
    <w:p w14:paraId="490065A4" w14:textId="47892B0C" w:rsidR="00293347" w:rsidRPr="00C77CDF" w:rsidRDefault="00C152E1" w:rsidP="05475471">
      <w:pPr>
        <w:jc w:val="both"/>
      </w:pPr>
      <w:r w:rsidRPr="00C77CDF">
        <w:t>Tendo</w:t>
      </w:r>
      <w:r w:rsidR="00293347" w:rsidRPr="00C77CDF">
        <w:t xml:space="preserve"> em vista que o SDD foi construído com a finalidade de </w:t>
      </w:r>
      <w:r w:rsidRPr="00C77CDF">
        <w:t xml:space="preserve">endereçar especificamente as necessidades dos processos de defesa comercial, recomenda-se </w:t>
      </w:r>
      <w:r w:rsidR="00F316E5" w:rsidRPr="00C77CDF">
        <w:t>o desenvolvimento de funcionalidade relacionada à identificação de pendências na esfera do</w:t>
      </w:r>
      <w:r w:rsidRPr="00C77CDF">
        <w:t xml:space="preserve"> SEI, </w:t>
      </w:r>
      <w:r w:rsidR="00F316E5" w:rsidRPr="00C77CDF">
        <w:t>dado o potencial</w:t>
      </w:r>
      <w:r w:rsidRPr="00C77CDF">
        <w:t xml:space="preserve"> impacto negativo </w:t>
      </w:r>
      <w:r w:rsidR="00C93DE2" w:rsidRPr="00C77CDF">
        <w:t xml:space="preserve">sobre </w:t>
      </w:r>
      <w:r w:rsidRPr="00C77CDF">
        <w:t>o andamento dos procedimentos de defesa comercial</w:t>
      </w:r>
      <w:r w:rsidR="00FC7CF5" w:rsidRPr="00C77CDF">
        <w:t xml:space="preserve"> e a experiência do usuário.</w:t>
      </w:r>
      <w:r w:rsidR="00B0327A" w:rsidRPr="00C77CDF">
        <w:t xml:space="preserve"> A expedição de ofício pela autoridade investigadora constitui instrumento relevante de comunicação às partes sobre a existência de pendências, de modo que é desejável que siga representando canal </w:t>
      </w:r>
      <w:r w:rsidR="00642C82" w:rsidRPr="00C77CDF">
        <w:t>complementar</w:t>
      </w:r>
      <w:r w:rsidR="00B0327A" w:rsidRPr="00C77CDF">
        <w:t xml:space="preserve"> de comunicação da SDCOM com o usuário externo</w:t>
      </w:r>
      <w:r w:rsidR="008E52EB" w:rsidRPr="00C77CDF">
        <w:t xml:space="preserve"> para tal propósito</w:t>
      </w:r>
      <w:r w:rsidR="00B0327A" w:rsidRPr="00C77CDF">
        <w:t xml:space="preserve">. </w:t>
      </w:r>
    </w:p>
    <w:p w14:paraId="5EEE260D" w14:textId="4A037338" w:rsidR="003F2EA3" w:rsidRPr="00C77CDF" w:rsidRDefault="003F2EA3" w:rsidP="05475471">
      <w:pPr>
        <w:jc w:val="both"/>
        <w:rPr>
          <w:b/>
          <w:bCs/>
        </w:rPr>
      </w:pPr>
    </w:p>
    <w:p w14:paraId="7136AD4B" w14:textId="248759E4" w:rsidR="003F2EA3" w:rsidRPr="00C77CDF" w:rsidRDefault="0097396D" w:rsidP="24B70876">
      <w:pPr>
        <w:pStyle w:val="PargrafodaLista"/>
        <w:numPr>
          <w:ilvl w:val="0"/>
          <w:numId w:val="1"/>
        </w:numPr>
        <w:jc w:val="both"/>
      </w:pPr>
      <w:r w:rsidRPr="00C77CDF">
        <w:t xml:space="preserve">Item </w:t>
      </w:r>
      <w:r w:rsidR="003F2EA3" w:rsidRPr="00C77CDF">
        <w:t>3.2.3.5 Aba processos/Analisar documentos (SDD) → Não há funcionalidade equivalente (SEI)</w:t>
      </w:r>
    </w:p>
    <w:p w14:paraId="0F942DD7" w14:textId="453FEF26" w:rsidR="00980E99" w:rsidRPr="00C77CDF" w:rsidRDefault="00980E99" w:rsidP="00980E99">
      <w:pPr>
        <w:jc w:val="both"/>
      </w:pPr>
      <w:r w:rsidRPr="00C77CDF">
        <w:t>No SDD, a ferramenta “Analisar Documentos” indica os documentos carregados pelas partes interessadas para que</w:t>
      </w:r>
      <w:r w:rsidR="006615C1" w:rsidRPr="00C77CDF">
        <w:t xml:space="preserve"> sejam</w:t>
      </w:r>
      <w:r w:rsidRPr="00C77CDF">
        <w:t xml:space="preserve">, posteriormente, dispostos nos autos do processo. De acordo com os servidores da SDCOM, essa etapa é de grande relevância ao processo, uma vez que é na aba “Analisar Documentos” que se realiza a verificação das informações antes que </w:t>
      </w:r>
      <w:r w:rsidR="00C93DE2" w:rsidRPr="00C77CDF">
        <w:t xml:space="preserve">estas </w:t>
      </w:r>
      <w:r w:rsidRPr="00C77CDF">
        <w:t xml:space="preserve">sejam disponibilizadas às partes interessadas. </w:t>
      </w:r>
    </w:p>
    <w:p w14:paraId="42AF4B1A" w14:textId="3F2CC9BC" w:rsidR="00980E99" w:rsidRPr="00C77CDF" w:rsidRDefault="00980E99" w:rsidP="00980E99">
      <w:pPr>
        <w:jc w:val="both"/>
      </w:pPr>
      <w:r w:rsidRPr="00C77CDF">
        <w:t xml:space="preserve">Com a falta de funcionalidade correspondente no SEI, é possível que esses documentos sejam </w:t>
      </w:r>
      <w:r w:rsidR="0C032C23" w:rsidRPr="00C77CDF">
        <w:t>protocolados de duas maneiras</w:t>
      </w:r>
      <w:r w:rsidRPr="00C77CDF">
        <w:t xml:space="preserve">: </w:t>
      </w:r>
      <w:r w:rsidRPr="00C77CDF">
        <w:rPr>
          <w:b/>
          <w:bCs/>
        </w:rPr>
        <w:t>(i)</w:t>
      </w:r>
      <w:r w:rsidRPr="00C77CDF">
        <w:t xml:space="preserve"> diretamente nos autos do processo</w:t>
      </w:r>
      <w:r w:rsidR="402981DD" w:rsidRPr="00C77CDF">
        <w:t xml:space="preserve">; </w:t>
      </w:r>
      <w:r w:rsidRPr="00C77CDF">
        <w:t xml:space="preserve">ou </w:t>
      </w:r>
      <w:r w:rsidRPr="00C77CDF">
        <w:rPr>
          <w:b/>
          <w:bCs/>
        </w:rPr>
        <w:t>(</w:t>
      </w:r>
      <w:proofErr w:type="spellStart"/>
      <w:r w:rsidRPr="00C77CDF">
        <w:rPr>
          <w:b/>
          <w:bCs/>
        </w:rPr>
        <w:t>ii</w:t>
      </w:r>
      <w:proofErr w:type="spellEnd"/>
      <w:r w:rsidRPr="00C77CDF">
        <w:rPr>
          <w:b/>
          <w:bCs/>
        </w:rPr>
        <w:t>)</w:t>
      </w:r>
      <w:r w:rsidRPr="00C77CDF">
        <w:t xml:space="preserve"> em outro processo relacionado ao indicado. No caso da segunda opção, </w:t>
      </w:r>
      <w:r w:rsidR="006615C1" w:rsidRPr="00C77CDF">
        <w:t xml:space="preserve">cumpriria à </w:t>
      </w:r>
      <w:r w:rsidRPr="00C77CDF">
        <w:t xml:space="preserve">SDCOM, posteriormente, vincular o novo processo aos autos principais. </w:t>
      </w:r>
      <w:r w:rsidR="1F0A6F67" w:rsidRPr="00C77CDF">
        <w:t>E</w:t>
      </w:r>
      <w:r w:rsidRPr="00C77CDF">
        <w:t xml:space="preserve">sse </w:t>
      </w:r>
      <w:r w:rsidR="3B9BE344" w:rsidRPr="00C77CDF">
        <w:t xml:space="preserve">segundo </w:t>
      </w:r>
      <w:r w:rsidRPr="00C77CDF">
        <w:t>caminho</w:t>
      </w:r>
      <w:r w:rsidR="06E2B041" w:rsidRPr="00C77CDF">
        <w:t xml:space="preserve"> permitiria </w:t>
      </w:r>
      <w:r w:rsidRPr="00C77CDF">
        <w:t>a verificação prévia das informações</w:t>
      </w:r>
      <w:r w:rsidR="00A82D52" w:rsidRPr="00C77CDF">
        <w:t>,</w:t>
      </w:r>
      <w:r w:rsidR="2572B2C3" w:rsidRPr="00C77CDF">
        <w:t xml:space="preserve"> </w:t>
      </w:r>
      <w:r w:rsidR="00A82D52" w:rsidRPr="00C77CDF">
        <w:t>em sintonia com</w:t>
      </w:r>
      <w:r w:rsidR="2572B2C3" w:rsidRPr="00C77CDF">
        <w:t xml:space="preserve"> a sistemática vigente no SDD</w:t>
      </w:r>
      <w:r w:rsidRPr="00C77CDF">
        <w:t>.</w:t>
      </w:r>
    </w:p>
    <w:p w14:paraId="6499157F" w14:textId="38DAE5AA" w:rsidR="00980E99" w:rsidRPr="00C77CDF" w:rsidRDefault="18ADF61C" w:rsidP="05475471">
      <w:pPr>
        <w:jc w:val="both"/>
        <w:rPr>
          <w:rFonts w:ascii="Calibri" w:hAnsi="Calibri" w:cs="Calibri"/>
        </w:rPr>
      </w:pPr>
      <w:r w:rsidRPr="00C77CDF">
        <w:t>Nesse sentido, o estudo de viabilidade faz menção a exposições feitas por técnicos</w:t>
      </w:r>
      <w:r w:rsidR="00980E99" w:rsidRPr="00C77CDF">
        <w:t xml:space="preserve"> da </w:t>
      </w:r>
      <w:r w:rsidR="009075E7" w:rsidRPr="00C77CDF">
        <w:t>SDCOM</w:t>
      </w:r>
      <w:r w:rsidR="009075E7" w:rsidRPr="00C77CDF" w:rsidDel="009075E7">
        <w:t xml:space="preserve"> </w:t>
      </w:r>
      <w:r w:rsidR="4CF6AEA5" w:rsidRPr="00C77CDF">
        <w:t>com</w:t>
      </w:r>
      <w:r w:rsidR="00980E99" w:rsidRPr="00C77CDF">
        <w:t xml:space="preserve"> preocupações no que tange ao protocolo direto </w:t>
      </w:r>
      <w:r w:rsidR="004F5241" w:rsidRPr="00C77CDF">
        <w:t xml:space="preserve">de documentos </w:t>
      </w:r>
      <w:r w:rsidR="00980E99" w:rsidRPr="00C77CDF">
        <w:t xml:space="preserve">nos autos do processo. Segundo os servidores, são dois os principais problemas: </w:t>
      </w:r>
      <w:r w:rsidR="00980E99" w:rsidRPr="00C77CDF">
        <w:rPr>
          <w:b/>
          <w:bCs/>
        </w:rPr>
        <w:t>(i)</w:t>
      </w:r>
      <w:r w:rsidR="00980E99" w:rsidRPr="00C77CDF">
        <w:t xml:space="preserve"> a anexação de documentos em língua estrangeira diferente daquelas estabelecidas pela OMC, conforme art. 18 da Lei 12.995/2014, ou que estejam em desacordo com o disposto no art. 49, </w:t>
      </w:r>
      <w:r w:rsidR="00980E99" w:rsidRPr="00C77CDF">
        <w:rPr>
          <w:rFonts w:ascii="Calibri" w:hAnsi="Calibri" w:cs="Calibri"/>
          <w:shd w:val="clear" w:color="auto" w:fill="FFFFFF"/>
        </w:rPr>
        <w:t xml:space="preserve">§2º do Decreto 8.058/2013; e </w:t>
      </w:r>
      <w:r w:rsidR="00980E99" w:rsidRPr="00C77CDF">
        <w:rPr>
          <w:rFonts w:ascii="Calibri" w:hAnsi="Calibri" w:cs="Calibri"/>
          <w:b/>
          <w:bCs/>
          <w:shd w:val="clear" w:color="auto" w:fill="FFFFFF"/>
        </w:rPr>
        <w:t>(</w:t>
      </w:r>
      <w:proofErr w:type="spellStart"/>
      <w:r w:rsidR="00980E99" w:rsidRPr="00C77CDF">
        <w:rPr>
          <w:rFonts w:ascii="Calibri" w:hAnsi="Calibri" w:cs="Calibri"/>
          <w:b/>
          <w:bCs/>
          <w:shd w:val="clear" w:color="auto" w:fill="FFFFFF"/>
        </w:rPr>
        <w:t>ii</w:t>
      </w:r>
      <w:proofErr w:type="spellEnd"/>
      <w:r w:rsidR="00980E99" w:rsidRPr="00C77CDF">
        <w:rPr>
          <w:rFonts w:ascii="Calibri" w:hAnsi="Calibri" w:cs="Calibri"/>
          <w:b/>
          <w:bCs/>
          <w:shd w:val="clear" w:color="auto" w:fill="FFFFFF"/>
        </w:rPr>
        <w:t>)</w:t>
      </w:r>
      <w:r w:rsidR="00980E99" w:rsidRPr="00C77CDF">
        <w:rPr>
          <w:rFonts w:ascii="Calibri" w:hAnsi="Calibri" w:cs="Calibri"/>
          <w:shd w:val="clear" w:color="auto" w:fill="FFFFFF"/>
        </w:rPr>
        <w:t xml:space="preserve"> o </w:t>
      </w:r>
      <w:r w:rsidR="00980E99" w:rsidRPr="00C77CDF">
        <w:rPr>
          <w:rFonts w:ascii="Calibri" w:hAnsi="Calibri" w:cs="Calibri"/>
          <w:i/>
          <w:iCs/>
          <w:shd w:val="clear" w:color="auto" w:fill="FFFFFF"/>
        </w:rPr>
        <w:t>upload</w:t>
      </w:r>
      <w:r w:rsidR="00980E99" w:rsidRPr="00C77CDF">
        <w:rPr>
          <w:rFonts w:ascii="Calibri" w:hAnsi="Calibri" w:cs="Calibri"/>
          <w:shd w:val="clear" w:color="auto" w:fill="FFFFFF"/>
        </w:rPr>
        <w:t xml:space="preserve"> de arquivos que não cumpram com as normas de confidencialidade</w:t>
      </w:r>
      <w:r w:rsidR="27D6564D" w:rsidRPr="00C77CDF">
        <w:rPr>
          <w:rFonts w:ascii="Calibri" w:hAnsi="Calibri" w:cs="Calibri"/>
          <w:shd w:val="clear" w:color="auto" w:fill="FFFFFF"/>
        </w:rPr>
        <w:t xml:space="preserve"> (pp. 64-65</w:t>
      </w:r>
      <w:r w:rsidR="78EC02CC" w:rsidRPr="00C77CDF">
        <w:rPr>
          <w:rFonts w:ascii="Calibri" w:hAnsi="Calibri" w:cs="Calibri"/>
          <w:shd w:val="clear" w:color="auto" w:fill="FFFFFF"/>
        </w:rPr>
        <w:t xml:space="preserve"> do estudo</w:t>
      </w:r>
      <w:r w:rsidR="27D6564D" w:rsidRPr="00C77CDF">
        <w:rPr>
          <w:rFonts w:ascii="Calibri" w:hAnsi="Calibri" w:cs="Calibri"/>
          <w:shd w:val="clear" w:color="auto" w:fill="FFFFFF"/>
        </w:rPr>
        <w:t>)</w:t>
      </w:r>
      <w:r w:rsidR="05A3C61D" w:rsidRPr="00C77CDF">
        <w:rPr>
          <w:rFonts w:ascii="Calibri" w:hAnsi="Calibri" w:cs="Calibri"/>
          <w:shd w:val="clear" w:color="auto" w:fill="FFFFFF"/>
        </w:rPr>
        <w:t xml:space="preserve">. </w:t>
      </w:r>
    </w:p>
    <w:p w14:paraId="5F981D16" w14:textId="07E23EB9" w:rsidR="00980E99" w:rsidRPr="00C77CDF" w:rsidRDefault="05A3C61D" w:rsidP="00980E99">
      <w:pPr>
        <w:jc w:val="both"/>
        <w:rPr>
          <w:b/>
          <w:bCs/>
        </w:rPr>
      </w:pPr>
      <w:r w:rsidRPr="00C77CDF">
        <w:rPr>
          <w:rFonts w:ascii="Calibri" w:hAnsi="Calibri" w:cs="Calibri"/>
          <w:shd w:val="clear" w:color="auto" w:fill="FFFFFF"/>
        </w:rPr>
        <w:t>Apesar dessas manifestações, o estudo segue propondo a adoção da alternativa de protocolos realizados diretamente nos autos do processo</w:t>
      </w:r>
      <w:r w:rsidR="2BDC3BD1" w:rsidRPr="00C77CDF">
        <w:rPr>
          <w:rFonts w:ascii="Calibri" w:hAnsi="Calibri" w:cs="Calibri"/>
          <w:shd w:val="clear" w:color="auto" w:fill="FFFFFF"/>
        </w:rPr>
        <w:t>, com o objetivo de incrementar a produtividade d</w:t>
      </w:r>
      <w:r w:rsidR="0313164F" w:rsidRPr="00C77CDF">
        <w:rPr>
          <w:rFonts w:ascii="Calibri" w:hAnsi="Calibri" w:cs="Calibri"/>
          <w:shd w:val="clear" w:color="auto" w:fill="FFFFFF"/>
        </w:rPr>
        <w:t>os investigadores.</w:t>
      </w:r>
      <w:r w:rsidR="56740A36" w:rsidRPr="00C77CDF">
        <w:rPr>
          <w:rFonts w:ascii="Calibri" w:hAnsi="Calibri" w:cs="Calibri"/>
          <w:shd w:val="clear" w:color="auto" w:fill="FFFFFF"/>
        </w:rPr>
        <w:t xml:space="preserve"> </w:t>
      </w:r>
      <w:r w:rsidR="00C93DE2" w:rsidRPr="00C77CDF">
        <w:rPr>
          <w:rFonts w:ascii="Calibri" w:hAnsi="Calibri" w:cs="Calibri"/>
          <w:shd w:val="clear" w:color="auto" w:fill="FFFFFF"/>
        </w:rPr>
        <w:t>Tal alternativa</w:t>
      </w:r>
      <w:r w:rsidR="0C2FE250" w:rsidRPr="00C77CDF">
        <w:rPr>
          <w:rFonts w:ascii="Calibri" w:hAnsi="Calibri" w:cs="Calibri"/>
          <w:shd w:val="clear" w:color="auto" w:fill="FFFFFF"/>
        </w:rPr>
        <w:t xml:space="preserve">, no entanto, </w:t>
      </w:r>
      <w:r w:rsidR="0148AB20" w:rsidRPr="00C77CDF">
        <w:rPr>
          <w:rFonts w:ascii="Calibri" w:hAnsi="Calibri" w:cs="Calibri"/>
          <w:shd w:val="clear" w:color="auto" w:fill="FFFFFF"/>
        </w:rPr>
        <w:t>não apenas</w:t>
      </w:r>
      <w:r w:rsidR="519BED75" w:rsidRPr="00C77CDF">
        <w:rPr>
          <w:rFonts w:ascii="Calibri" w:hAnsi="Calibri" w:cs="Calibri"/>
          <w:shd w:val="clear" w:color="auto" w:fill="FFFFFF"/>
        </w:rPr>
        <w:t xml:space="preserve"> envolve</w:t>
      </w:r>
      <w:r w:rsidR="0148AB20" w:rsidRPr="00C77CDF">
        <w:rPr>
          <w:rFonts w:ascii="Calibri" w:hAnsi="Calibri" w:cs="Calibri"/>
          <w:shd w:val="clear" w:color="auto" w:fill="FFFFFF"/>
        </w:rPr>
        <w:t xml:space="preserve"> o risco de que as partes interessadas disponibilizem</w:t>
      </w:r>
      <w:r w:rsidR="54522312" w:rsidRPr="00C77CDF">
        <w:rPr>
          <w:rFonts w:ascii="Calibri" w:hAnsi="Calibri" w:cs="Calibri"/>
          <w:shd w:val="clear" w:color="auto" w:fill="FFFFFF"/>
        </w:rPr>
        <w:t xml:space="preserve"> documentos inválidos que </w:t>
      </w:r>
      <w:r w:rsidR="3428C7CD" w:rsidRPr="00C77CDF">
        <w:rPr>
          <w:rFonts w:ascii="Calibri" w:hAnsi="Calibri" w:cs="Calibri"/>
          <w:shd w:val="clear" w:color="auto" w:fill="FFFFFF"/>
        </w:rPr>
        <w:t xml:space="preserve">possam </w:t>
      </w:r>
      <w:r w:rsidR="54522312" w:rsidRPr="00C77CDF">
        <w:rPr>
          <w:rFonts w:ascii="Calibri" w:hAnsi="Calibri" w:cs="Calibri"/>
          <w:shd w:val="clear" w:color="auto" w:fill="FFFFFF"/>
        </w:rPr>
        <w:t>p</w:t>
      </w:r>
      <w:r w:rsidR="5D645F5F" w:rsidRPr="00C77CDF">
        <w:rPr>
          <w:rFonts w:ascii="Calibri" w:hAnsi="Calibri" w:cs="Calibri"/>
          <w:shd w:val="clear" w:color="auto" w:fill="FFFFFF"/>
        </w:rPr>
        <w:t xml:space="preserve">rejudicar </w:t>
      </w:r>
      <w:r w:rsidR="54522312" w:rsidRPr="00C77CDF">
        <w:rPr>
          <w:rFonts w:ascii="Calibri" w:hAnsi="Calibri" w:cs="Calibri"/>
          <w:shd w:val="clear" w:color="auto" w:fill="FFFFFF"/>
        </w:rPr>
        <w:t>a condução dos processo</w:t>
      </w:r>
      <w:r w:rsidR="19483530" w:rsidRPr="00C77CDF">
        <w:rPr>
          <w:rFonts w:ascii="Calibri" w:hAnsi="Calibri" w:cs="Calibri"/>
          <w:shd w:val="clear" w:color="auto" w:fill="FFFFFF"/>
        </w:rPr>
        <w:t>s, mesmo que temporariamente</w:t>
      </w:r>
      <w:r w:rsidR="54522312" w:rsidRPr="00C77CDF">
        <w:rPr>
          <w:rFonts w:ascii="Calibri" w:hAnsi="Calibri" w:cs="Calibri"/>
          <w:shd w:val="clear" w:color="auto" w:fill="FFFFFF"/>
        </w:rPr>
        <w:t xml:space="preserve">, como também </w:t>
      </w:r>
      <w:r w:rsidR="248AE004" w:rsidRPr="00C77CDF">
        <w:rPr>
          <w:rFonts w:ascii="Calibri" w:hAnsi="Calibri" w:cs="Calibri"/>
          <w:shd w:val="clear" w:color="auto" w:fill="FFFFFF"/>
        </w:rPr>
        <w:t xml:space="preserve">não elimina a necessidade de análise posterior pela </w:t>
      </w:r>
      <w:r w:rsidR="006615C1" w:rsidRPr="00C77CDF">
        <w:rPr>
          <w:rFonts w:ascii="Calibri" w:hAnsi="Calibri" w:cs="Calibri"/>
          <w:shd w:val="clear" w:color="auto" w:fill="FFFFFF"/>
        </w:rPr>
        <w:t xml:space="preserve">SDCOM </w:t>
      </w:r>
      <w:r w:rsidR="248AE004" w:rsidRPr="00C77CDF">
        <w:rPr>
          <w:rFonts w:ascii="Calibri" w:hAnsi="Calibri" w:cs="Calibri"/>
          <w:shd w:val="clear" w:color="auto" w:fill="FFFFFF"/>
        </w:rPr>
        <w:t xml:space="preserve">sobre o atendimento dos requisitos legais e infralegais já mencionados. Nesse sentido, </w:t>
      </w:r>
      <w:r w:rsidR="1C1B04A3" w:rsidRPr="00C77CDF">
        <w:rPr>
          <w:rFonts w:ascii="Calibri" w:hAnsi="Calibri" w:cs="Calibri"/>
          <w:shd w:val="clear" w:color="auto" w:fill="FFFFFF"/>
        </w:rPr>
        <w:t xml:space="preserve">sugere-se que seja mantida a </w:t>
      </w:r>
      <w:r w:rsidR="00C93DE2" w:rsidRPr="00C77CDF">
        <w:rPr>
          <w:rFonts w:ascii="Calibri" w:hAnsi="Calibri" w:cs="Calibri"/>
          <w:shd w:val="clear" w:color="auto" w:fill="FFFFFF"/>
        </w:rPr>
        <w:t xml:space="preserve">dinâmica </w:t>
      </w:r>
      <w:r w:rsidR="1C1B04A3" w:rsidRPr="00C77CDF">
        <w:rPr>
          <w:rFonts w:ascii="Calibri" w:hAnsi="Calibri" w:cs="Calibri"/>
          <w:shd w:val="clear" w:color="auto" w:fill="FFFFFF"/>
        </w:rPr>
        <w:t>vigente e que a autoridade opte pelo caminho de anexação indireta de documento em pro</w:t>
      </w:r>
      <w:r w:rsidR="71CC7918" w:rsidRPr="00C77CDF">
        <w:rPr>
          <w:rFonts w:ascii="Calibri" w:hAnsi="Calibri" w:cs="Calibri"/>
          <w:shd w:val="clear" w:color="auto" w:fill="FFFFFF"/>
        </w:rPr>
        <w:t>cesso relacionado para análise prévia pelo órgão.</w:t>
      </w:r>
      <w:r w:rsidR="1C1B04A3" w:rsidRPr="00C77CDF">
        <w:rPr>
          <w:rFonts w:ascii="Calibri" w:hAnsi="Calibri" w:cs="Calibri"/>
          <w:shd w:val="clear" w:color="auto" w:fill="FFFFFF"/>
        </w:rPr>
        <w:t xml:space="preserve"> </w:t>
      </w:r>
      <w:r w:rsidR="00980E99" w:rsidRPr="00C77CDF">
        <w:rPr>
          <w:b/>
          <w:bCs/>
        </w:rPr>
        <w:br w:type="page"/>
      </w:r>
    </w:p>
    <w:p w14:paraId="22894C8C" w14:textId="3D02A255" w:rsidR="3EC095A9" w:rsidRDefault="006E6913" w:rsidP="05475471">
      <w:pPr>
        <w:rPr>
          <w:b/>
          <w:bCs/>
          <w:u w:val="single"/>
        </w:rPr>
      </w:pPr>
      <w:r>
        <w:rPr>
          <w:b/>
          <w:bCs/>
          <w:u w:val="single"/>
        </w:rPr>
        <w:lastRenderedPageBreak/>
        <w:t xml:space="preserve">II. </w:t>
      </w:r>
      <w:r w:rsidR="3EC095A9" w:rsidRPr="05475471">
        <w:rPr>
          <w:b/>
          <w:bCs/>
          <w:u w:val="single"/>
        </w:rPr>
        <w:t>MINUTA DE PORTARIA</w:t>
      </w:r>
    </w:p>
    <w:p w14:paraId="7E74F15A" w14:textId="5347F7B7" w:rsidR="05475471" w:rsidRDefault="05475471" w:rsidP="05475471">
      <w:pPr>
        <w:rPr>
          <w:b/>
          <w:bCs/>
          <w:u w:val="single"/>
        </w:rPr>
      </w:pPr>
    </w:p>
    <w:p w14:paraId="5C71CED9" w14:textId="1A58A6EE" w:rsidR="2D46B6A8" w:rsidRDefault="2D46B6A8" w:rsidP="05475471">
      <w:pPr>
        <w:rPr>
          <w:rFonts w:ascii="Calibri" w:eastAsia="Calibri" w:hAnsi="Calibri" w:cs="Calibri"/>
          <w:b/>
          <w:bCs/>
        </w:rPr>
      </w:pPr>
      <w:r w:rsidRPr="05475471">
        <w:rPr>
          <w:rFonts w:ascii="Calibri" w:eastAsia="Calibri" w:hAnsi="Calibri" w:cs="Calibri"/>
          <w:b/>
          <w:bCs/>
        </w:rPr>
        <w:t>i. Artigo 6º</w:t>
      </w:r>
    </w:p>
    <w:tbl>
      <w:tblPr>
        <w:tblStyle w:val="Tabelacomgrade"/>
        <w:tblW w:w="0" w:type="auto"/>
        <w:tblLook w:val="06A0" w:firstRow="1" w:lastRow="0" w:firstColumn="1" w:lastColumn="0" w:noHBand="1" w:noVBand="1"/>
      </w:tblPr>
      <w:tblGrid>
        <w:gridCol w:w="4508"/>
        <w:gridCol w:w="4508"/>
      </w:tblGrid>
      <w:tr w:rsidR="05475471" w14:paraId="301F09EC" w14:textId="77777777" w:rsidTr="05475471">
        <w:tc>
          <w:tcPr>
            <w:tcW w:w="4508" w:type="dxa"/>
            <w:shd w:val="clear" w:color="auto" w:fill="C00000"/>
          </w:tcPr>
          <w:p w14:paraId="1E04C856" w14:textId="171F4135" w:rsidR="05475471" w:rsidRDefault="05475471" w:rsidP="05475471">
            <w:pPr>
              <w:jc w:val="center"/>
              <w:rPr>
                <w:b/>
                <w:bCs/>
              </w:rPr>
            </w:pPr>
            <w:r w:rsidRPr="05475471">
              <w:rPr>
                <w:b/>
                <w:bCs/>
              </w:rPr>
              <w:t>Proposta de minuta</w:t>
            </w:r>
          </w:p>
        </w:tc>
        <w:tc>
          <w:tcPr>
            <w:tcW w:w="4508" w:type="dxa"/>
            <w:shd w:val="clear" w:color="auto" w:fill="C00000"/>
          </w:tcPr>
          <w:p w14:paraId="45A05E2B" w14:textId="57D96B8A" w:rsidR="05475471" w:rsidRDefault="05475471" w:rsidP="05475471">
            <w:pPr>
              <w:jc w:val="center"/>
              <w:rPr>
                <w:b/>
                <w:bCs/>
              </w:rPr>
            </w:pPr>
            <w:r w:rsidRPr="05475471">
              <w:rPr>
                <w:b/>
                <w:bCs/>
              </w:rPr>
              <w:t>Sugestão de mudança</w:t>
            </w:r>
          </w:p>
        </w:tc>
      </w:tr>
      <w:tr w:rsidR="05475471" w14:paraId="6EF97E0A" w14:textId="77777777" w:rsidTr="05475471">
        <w:tc>
          <w:tcPr>
            <w:tcW w:w="4508" w:type="dxa"/>
          </w:tcPr>
          <w:p w14:paraId="3FB75F60" w14:textId="183BBB67" w:rsidR="05475471" w:rsidRDefault="05475471" w:rsidP="05475471">
            <w:pPr>
              <w:jc w:val="both"/>
            </w:pPr>
            <w:r w:rsidRPr="05475471">
              <w:rPr>
                <w:color w:val="000000" w:themeColor="text1"/>
              </w:rPr>
              <w:t>Art. 6º A Subsecretaria de Defesa Comercial e Interesse Público, sempre que julgar necessário, poderá requisitar o documento original que tenha sido apresentado digitalizado, o qual deverá ser entregue no prazo de cinco dias, contado da data de ciência, prorrogável uma única vez por igual período.</w:t>
            </w:r>
          </w:p>
        </w:tc>
        <w:tc>
          <w:tcPr>
            <w:tcW w:w="4508" w:type="dxa"/>
          </w:tcPr>
          <w:p w14:paraId="35EA1BF9" w14:textId="4A7BEF56" w:rsidR="05475471" w:rsidRDefault="05475471" w:rsidP="05475471">
            <w:pPr>
              <w:jc w:val="both"/>
            </w:pPr>
            <w:r w:rsidRPr="05475471">
              <w:rPr>
                <w:color w:val="000000" w:themeColor="text1"/>
              </w:rPr>
              <w:t>Art. 6º A Subsecretaria de Defesa Comercial e Interesse Público, sempre que julgar necessário, poderá requisitar o documento original que tenha sido apresentado digitalizado, o qual deverá ser entregue no prazo de cinco dias, contado da data de ciência, prorrogável uma única vez por igual período.</w:t>
            </w:r>
          </w:p>
        </w:tc>
      </w:tr>
      <w:tr w:rsidR="05475471" w14:paraId="6DC67BDE" w14:textId="77777777" w:rsidTr="05475471">
        <w:tc>
          <w:tcPr>
            <w:tcW w:w="4508" w:type="dxa"/>
          </w:tcPr>
          <w:p w14:paraId="2C6CB444" w14:textId="56004DE2" w:rsidR="05475471" w:rsidRDefault="05475471" w:rsidP="05475471">
            <w:pPr>
              <w:jc w:val="both"/>
            </w:pPr>
            <w:r w:rsidRPr="05475471">
              <w:rPr>
                <w:color w:val="000000" w:themeColor="text1"/>
              </w:rPr>
              <w:t>§ 1º Caso o detentor do documento indicado no parágrafo anterior não atenda a requisição da Subsecretaria de Defesa Comercial e Interesse Público no prazo especificado, o documento digitalizado poderá ser desconsiderado.</w:t>
            </w:r>
          </w:p>
        </w:tc>
        <w:tc>
          <w:tcPr>
            <w:tcW w:w="4508" w:type="dxa"/>
          </w:tcPr>
          <w:p w14:paraId="38A193DA" w14:textId="08802088" w:rsidR="05475471" w:rsidRDefault="05475471" w:rsidP="05475471">
            <w:pPr>
              <w:jc w:val="both"/>
            </w:pPr>
            <w:r w:rsidRPr="05475471">
              <w:rPr>
                <w:color w:val="000000" w:themeColor="text1"/>
              </w:rPr>
              <w:t xml:space="preserve">§ 1º Caso o detentor do documento indicado no parágrafo anterior não atenda a requisição da Subsecretaria de Defesa Comercial e Interesse Público no prazo especificado, o documento digitalizado </w:t>
            </w:r>
            <w:r w:rsidRPr="05475471">
              <w:rPr>
                <w:b/>
                <w:bCs/>
                <w:strike/>
                <w:color w:val="C82613"/>
              </w:rPr>
              <w:t>poderá ser</w:t>
            </w:r>
            <w:r>
              <w:t xml:space="preserve"> </w:t>
            </w:r>
            <w:r w:rsidRPr="05475471">
              <w:rPr>
                <w:b/>
                <w:bCs/>
                <w:color w:val="C82613"/>
              </w:rPr>
              <w:t xml:space="preserve">será </w:t>
            </w:r>
            <w:r>
              <w:t>desconsiderado.</w:t>
            </w:r>
            <w:r>
              <w:br/>
            </w:r>
          </w:p>
        </w:tc>
      </w:tr>
    </w:tbl>
    <w:p w14:paraId="546A298B" w14:textId="7A351E79" w:rsidR="05475471" w:rsidRDefault="05475471" w:rsidP="05475471"/>
    <w:p w14:paraId="17AF805B" w14:textId="4DA5297D" w:rsidR="2D46B6A8" w:rsidRDefault="2D46B6A8" w:rsidP="05475471">
      <w:pPr>
        <w:jc w:val="both"/>
      </w:pPr>
      <w:r w:rsidRPr="05475471">
        <w:rPr>
          <w:rFonts w:ascii="Calibri" w:eastAsia="Calibri" w:hAnsi="Calibri" w:cs="Calibri"/>
          <w:b/>
          <w:bCs/>
          <w:color w:val="000000" w:themeColor="text1"/>
        </w:rPr>
        <w:t>Justificativa</w:t>
      </w:r>
      <w:r w:rsidRPr="05475471">
        <w:rPr>
          <w:rFonts w:ascii="Calibri" w:eastAsia="Calibri" w:hAnsi="Calibri" w:cs="Calibri"/>
          <w:color w:val="000000" w:themeColor="text1"/>
        </w:rPr>
        <w:t xml:space="preserve">: </w:t>
      </w:r>
    </w:p>
    <w:p w14:paraId="2E6727B1" w14:textId="34B071CA" w:rsidR="3A125C6D" w:rsidRDefault="3A125C6D" w:rsidP="05475471">
      <w:pPr>
        <w:jc w:val="both"/>
        <w:rPr>
          <w:rFonts w:ascii="Calibri" w:eastAsia="Calibri" w:hAnsi="Calibri" w:cs="Calibri"/>
          <w:color w:val="000000" w:themeColor="text1"/>
        </w:rPr>
      </w:pPr>
      <w:r w:rsidRPr="05475471">
        <w:rPr>
          <w:rFonts w:ascii="Calibri" w:eastAsia="Calibri" w:hAnsi="Calibri" w:cs="Calibri"/>
          <w:color w:val="000000" w:themeColor="text1"/>
        </w:rPr>
        <w:t>Nota-se que o texto replica as disposições presentes na Portaria Secex</w:t>
      </w:r>
      <w:r w:rsidR="1C447447" w:rsidRPr="05475471">
        <w:rPr>
          <w:rFonts w:ascii="Calibri" w:eastAsia="Calibri" w:hAnsi="Calibri" w:cs="Calibri"/>
          <w:color w:val="000000" w:themeColor="text1"/>
        </w:rPr>
        <w:t xml:space="preserve"> nº 30, de 2018, que dispõe sobre a utilização do Sistema DECOM Digital (SDD), e na Portaria </w:t>
      </w:r>
      <w:r w:rsidR="3F77BEEB" w:rsidRPr="05475471">
        <w:rPr>
          <w:rFonts w:ascii="Calibri" w:eastAsia="Calibri" w:hAnsi="Calibri" w:cs="Calibri"/>
          <w:color w:val="000000" w:themeColor="text1"/>
        </w:rPr>
        <w:t>do Ministério da Economia</w:t>
      </w:r>
      <w:r w:rsidR="64E3F6B1" w:rsidRPr="05475471">
        <w:rPr>
          <w:rFonts w:ascii="Calibri" w:eastAsia="Calibri" w:hAnsi="Calibri" w:cs="Calibri"/>
          <w:color w:val="000000" w:themeColor="text1"/>
        </w:rPr>
        <w:t xml:space="preserve"> (ME)</w:t>
      </w:r>
      <w:r w:rsidR="3F77BEEB" w:rsidRPr="05475471">
        <w:rPr>
          <w:rFonts w:ascii="Calibri" w:eastAsia="Calibri" w:hAnsi="Calibri" w:cs="Calibri"/>
          <w:color w:val="000000" w:themeColor="text1"/>
        </w:rPr>
        <w:t xml:space="preserve"> nº 294, de 2020, que institui o SEI no âmbito da pasta.</w:t>
      </w:r>
      <w:r w:rsidR="1AE911A6" w:rsidRPr="05475471">
        <w:rPr>
          <w:rFonts w:ascii="Calibri" w:eastAsia="Calibri" w:hAnsi="Calibri" w:cs="Calibri"/>
          <w:color w:val="000000" w:themeColor="text1"/>
        </w:rPr>
        <w:t xml:space="preserve"> </w:t>
      </w:r>
    </w:p>
    <w:p w14:paraId="462DE5F5" w14:textId="083AE392" w:rsidR="3F77BEEB" w:rsidRDefault="3F77BEEB" w:rsidP="05475471">
      <w:pPr>
        <w:jc w:val="both"/>
        <w:rPr>
          <w:rFonts w:ascii="Calibri" w:eastAsia="Calibri" w:hAnsi="Calibri" w:cs="Calibri"/>
          <w:color w:val="000000" w:themeColor="text1"/>
        </w:rPr>
      </w:pPr>
      <w:r w:rsidRPr="05475471">
        <w:rPr>
          <w:rFonts w:ascii="Calibri" w:eastAsia="Calibri" w:hAnsi="Calibri" w:cs="Calibri"/>
          <w:color w:val="000000" w:themeColor="text1"/>
        </w:rPr>
        <w:t xml:space="preserve">No entanto, sugere-se a alteração dos termos propostos por uma linguagem menos contingencial, considerando os princípios que regem os procedimentos de defesa comercial. Assim, embora </w:t>
      </w:r>
      <w:r w:rsidR="259F9092" w:rsidRPr="05475471">
        <w:rPr>
          <w:rFonts w:ascii="Calibri" w:eastAsia="Calibri" w:hAnsi="Calibri" w:cs="Calibri"/>
          <w:color w:val="000000" w:themeColor="text1"/>
        </w:rPr>
        <w:t xml:space="preserve">a decisão </w:t>
      </w:r>
      <w:r w:rsidR="00DA4BB8">
        <w:rPr>
          <w:rFonts w:ascii="Calibri" w:eastAsia="Calibri" w:hAnsi="Calibri" w:cs="Calibri"/>
          <w:color w:val="000000" w:themeColor="text1"/>
        </w:rPr>
        <w:t>da</w:t>
      </w:r>
      <w:r w:rsidR="00DA4BB8" w:rsidRPr="05475471">
        <w:rPr>
          <w:rFonts w:ascii="Calibri" w:eastAsia="Calibri" w:hAnsi="Calibri" w:cs="Calibri"/>
          <w:color w:val="000000" w:themeColor="text1"/>
        </w:rPr>
        <w:t xml:space="preserve"> </w:t>
      </w:r>
      <w:r w:rsidR="259F9092" w:rsidRPr="05475471">
        <w:rPr>
          <w:rFonts w:ascii="Calibri" w:eastAsia="Calibri" w:hAnsi="Calibri" w:cs="Calibri"/>
          <w:color w:val="000000" w:themeColor="text1"/>
        </w:rPr>
        <w:t>autoridade</w:t>
      </w:r>
      <w:r w:rsidR="00DA4BB8">
        <w:rPr>
          <w:rFonts w:ascii="Calibri" w:eastAsia="Calibri" w:hAnsi="Calibri" w:cs="Calibri"/>
          <w:color w:val="000000" w:themeColor="text1"/>
        </w:rPr>
        <w:t xml:space="preserve"> investigadora</w:t>
      </w:r>
      <w:r w:rsidR="259F9092" w:rsidRPr="05475471">
        <w:rPr>
          <w:rFonts w:ascii="Calibri" w:eastAsia="Calibri" w:hAnsi="Calibri" w:cs="Calibri"/>
          <w:color w:val="000000" w:themeColor="text1"/>
        </w:rPr>
        <w:t xml:space="preserve"> sobre a solicitação dos documentos originais que tenham sido apresentados em formato digitalizado permaneça sendo </w:t>
      </w:r>
      <w:r w:rsidR="349087BB" w:rsidRPr="05475471">
        <w:rPr>
          <w:rFonts w:ascii="Calibri" w:eastAsia="Calibri" w:hAnsi="Calibri" w:cs="Calibri"/>
          <w:color w:val="000000" w:themeColor="text1"/>
        </w:rPr>
        <w:t xml:space="preserve">ato discricionário, o não atendimento do requerimento pelas partes interessadas deveria ser acompanhado de consequências. </w:t>
      </w:r>
    </w:p>
    <w:p w14:paraId="48A1D6A9" w14:textId="3E1EBC83" w:rsidR="65220717" w:rsidRDefault="65220717" w:rsidP="05475471">
      <w:pPr>
        <w:jc w:val="both"/>
        <w:rPr>
          <w:rFonts w:ascii="Calibri" w:eastAsia="Calibri" w:hAnsi="Calibri" w:cs="Calibri"/>
          <w:color w:val="000000" w:themeColor="text1"/>
        </w:rPr>
      </w:pPr>
      <w:r w:rsidRPr="05475471">
        <w:rPr>
          <w:rFonts w:ascii="Calibri" w:eastAsia="Calibri" w:hAnsi="Calibri" w:cs="Calibri"/>
          <w:color w:val="000000" w:themeColor="text1"/>
        </w:rPr>
        <w:t>Nesse sentido, o Decreto nº 8.058, de 2013 (Decreto Antidumping)</w:t>
      </w:r>
      <w:r w:rsidR="00DA4BB8">
        <w:rPr>
          <w:rFonts w:ascii="Calibri" w:eastAsia="Calibri" w:hAnsi="Calibri" w:cs="Calibri"/>
          <w:color w:val="000000" w:themeColor="text1"/>
        </w:rPr>
        <w:t>,</w:t>
      </w:r>
      <w:r w:rsidRPr="05475471">
        <w:rPr>
          <w:rFonts w:ascii="Calibri" w:eastAsia="Calibri" w:hAnsi="Calibri" w:cs="Calibri"/>
          <w:color w:val="000000" w:themeColor="text1"/>
        </w:rPr>
        <w:t xml:space="preserve"> é claro ao dispor que:</w:t>
      </w:r>
    </w:p>
    <w:p w14:paraId="6AFDB4B3" w14:textId="456ADCB2" w:rsidR="65220717" w:rsidRDefault="65220717" w:rsidP="05475471">
      <w:pPr>
        <w:ind w:left="2124"/>
        <w:jc w:val="both"/>
        <w:rPr>
          <w:rFonts w:ascii="Calibri" w:eastAsia="Calibri" w:hAnsi="Calibri" w:cs="Calibri"/>
          <w:i/>
          <w:iCs/>
          <w:color w:val="000000" w:themeColor="text1"/>
        </w:rPr>
      </w:pPr>
      <w:r w:rsidRPr="05475471">
        <w:rPr>
          <w:rFonts w:ascii="Calibri" w:eastAsia="Calibri" w:hAnsi="Calibri" w:cs="Calibri"/>
          <w:i/>
          <w:iCs/>
          <w:color w:val="000000" w:themeColor="text1"/>
        </w:rPr>
        <w:t>Art. 184. A parte interessada é responsável por cooperar com a investigação e por fornecer todos os dados e informações solicitadas, arcando com eventuais consequências decorrentes de sua omissão.</w:t>
      </w:r>
    </w:p>
    <w:p w14:paraId="1F7235F6" w14:textId="6F4CCF73" w:rsidR="3871A0C6" w:rsidRDefault="3871A0C6" w:rsidP="05475471">
      <w:pPr>
        <w:jc w:val="both"/>
        <w:rPr>
          <w:rFonts w:ascii="Calibri" w:eastAsia="Calibri" w:hAnsi="Calibri" w:cs="Calibri"/>
          <w:color w:val="000000" w:themeColor="text1"/>
        </w:rPr>
      </w:pPr>
      <w:r w:rsidRPr="05475471">
        <w:rPr>
          <w:rFonts w:ascii="Calibri" w:eastAsia="Calibri" w:hAnsi="Calibri" w:cs="Calibri"/>
          <w:color w:val="000000" w:themeColor="text1"/>
        </w:rPr>
        <w:t>Além desses princípios, a linguagem da já mencionada</w:t>
      </w:r>
      <w:r w:rsidR="00DA4BB8">
        <w:rPr>
          <w:rFonts w:ascii="Calibri" w:eastAsia="Calibri" w:hAnsi="Calibri" w:cs="Calibri"/>
          <w:color w:val="000000" w:themeColor="text1"/>
        </w:rPr>
        <w:t xml:space="preserve"> pela</w:t>
      </w:r>
      <w:r w:rsidRPr="05475471">
        <w:rPr>
          <w:rFonts w:ascii="Calibri" w:eastAsia="Calibri" w:hAnsi="Calibri" w:cs="Calibri"/>
          <w:color w:val="000000" w:themeColor="text1"/>
        </w:rPr>
        <w:t xml:space="preserve"> Portaria nº </w:t>
      </w:r>
      <w:r w:rsidR="005A233C">
        <w:rPr>
          <w:rFonts w:ascii="Calibri" w:eastAsia="Calibri" w:hAnsi="Calibri" w:cs="Calibri"/>
          <w:color w:val="000000" w:themeColor="text1"/>
        </w:rPr>
        <w:t>2</w:t>
      </w:r>
      <w:r w:rsidRPr="05475471">
        <w:rPr>
          <w:rFonts w:ascii="Calibri" w:eastAsia="Calibri" w:hAnsi="Calibri" w:cs="Calibri"/>
          <w:color w:val="000000" w:themeColor="text1"/>
        </w:rPr>
        <w:t>94, de 2020 (institui</w:t>
      </w:r>
      <w:r w:rsidR="5668F890" w:rsidRPr="05475471">
        <w:rPr>
          <w:rFonts w:ascii="Calibri" w:eastAsia="Calibri" w:hAnsi="Calibri" w:cs="Calibri"/>
          <w:color w:val="000000" w:themeColor="text1"/>
        </w:rPr>
        <w:t xml:space="preserve">dora </w:t>
      </w:r>
      <w:r w:rsidRPr="05475471">
        <w:rPr>
          <w:rFonts w:ascii="Calibri" w:eastAsia="Calibri" w:hAnsi="Calibri" w:cs="Calibri"/>
          <w:color w:val="000000" w:themeColor="text1"/>
        </w:rPr>
        <w:t>do SEI/ME) apresenta uma mudança margi</w:t>
      </w:r>
      <w:r w:rsidR="7CF8EA39" w:rsidRPr="05475471">
        <w:rPr>
          <w:rFonts w:ascii="Calibri" w:eastAsia="Calibri" w:hAnsi="Calibri" w:cs="Calibri"/>
          <w:color w:val="000000" w:themeColor="text1"/>
        </w:rPr>
        <w:t>nal sobre a falta de c</w:t>
      </w:r>
      <w:r w:rsidR="686B731B" w:rsidRPr="05475471">
        <w:rPr>
          <w:rFonts w:ascii="Calibri" w:eastAsia="Calibri" w:hAnsi="Calibri" w:cs="Calibri"/>
          <w:color w:val="000000" w:themeColor="text1"/>
        </w:rPr>
        <w:t>ooperação</w:t>
      </w:r>
      <w:r w:rsidR="149E05AB" w:rsidRPr="05475471">
        <w:rPr>
          <w:rFonts w:ascii="Calibri" w:eastAsia="Calibri" w:hAnsi="Calibri" w:cs="Calibri"/>
          <w:color w:val="000000" w:themeColor="text1"/>
        </w:rPr>
        <w:t xml:space="preserve"> na entrega dos </w:t>
      </w:r>
      <w:r w:rsidR="00A861B9">
        <w:rPr>
          <w:rFonts w:ascii="Calibri" w:eastAsia="Calibri" w:hAnsi="Calibri" w:cs="Calibri"/>
          <w:color w:val="000000" w:themeColor="text1"/>
        </w:rPr>
        <w:t xml:space="preserve">documentos </w:t>
      </w:r>
      <w:r w:rsidR="149E05AB" w:rsidRPr="05475471">
        <w:rPr>
          <w:rFonts w:ascii="Calibri" w:eastAsia="Calibri" w:hAnsi="Calibri" w:cs="Calibri"/>
          <w:color w:val="000000" w:themeColor="text1"/>
        </w:rPr>
        <w:t>originais, tornando possível a sua caracterização como indício de fraude:</w:t>
      </w:r>
    </w:p>
    <w:p w14:paraId="7E3B3134" w14:textId="43588E12" w:rsidR="12D4A9E9" w:rsidRDefault="12D4A9E9" w:rsidP="05475471">
      <w:pPr>
        <w:ind w:left="2124"/>
        <w:jc w:val="both"/>
        <w:rPr>
          <w:rFonts w:ascii="Calibri" w:eastAsia="Calibri" w:hAnsi="Calibri" w:cs="Calibri"/>
          <w:i/>
          <w:iCs/>
          <w:color w:val="000000" w:themeColor="text1"/>
        </w:rPr>
      </w:pPr>
      <w:r w:rsidRPr="05475471">
        <w:rPr>
          <w:rFonts w:ascii="Calibri" w:eastAsia="Calibri" w:hAnsi="Calibri" w:cs="Calibri"/>
          <w:i/>
          <w:iCs/>
          <w:color w:val="000000" w:themeColor="text1"/>
        </w:rPr>
        <w:t>Art. 23. O teor e a integridade dos documentos digitalizados e enviados para o Ministério da Economia por meio do SEI/ME são de responsabilidade do usuário externo, que responderá nos termos da legislação civil, penal e administrativa por eventuais fraudes.</w:t>
      </w:r>
    </w:p>
    <w:p w14:paraId="1661997D" w14:textId="18BA54B2" w:rsidR="12D4A9E9" w:rsidRDefault="12D4A9E9" w:rsidP="05475471">
      <w:pPr>
        <w:ind w:left="2124"/>
        <w:jc w:val="both"/>
        <w:rPr>
          <w:rFonts w:ascii="Calibri" w:eastAsia="Calibri" w:hAnsi="Calibri" w:cs="Calibri"/>
          <w:i/>
          <w:iCs/>
          <w:color w:val="000000" w:themeColor="text1"/>
        </w:rPr>
      </w:pPr>
      <w:r w:rsidRPr="05475471">
        <w:rPr>
          <w:rFonts w:ascii="Calibri" w:eastAsia="Calibri" w:hAnsi="Calibri" w:cs="Calibri"/>
          <w:i/>
          <w:iCs/>
          <w:color w:val="000000" w:themeColor="text1"/>
        </w:rPr>
        <w:t>...</w:t>
      </w:r>
    </w:p>
    <w:p w14:paraId="4172FBBD" w14:textId="5CB66BFF" w:rsidR="12D4A9E9" w:rsidRDefault="12D4A9E9" w:rsidP="05475471">
      <w:pPr>
        <w:ind w:left="2124"/>
        <w:jc w:val="both"/>
        <w:rPr>
          <w:rFonts w:ascii="Calibri" w:eastAsia="Calibri" w:hAnsi="Calibri" w:cs="Calibri"/>
          <w:i/>
          <w:iCs/>
          <w:color w:val="000000" w:themeColor="text1"/>
        </w:rPr>
      </w:pPr>
      <w:r w:rsidRPr="05475471">
        <w:rPr>
          <w:rFonts w:ascii="Calibri" w:eastAsia="Calibri" w:hAnsi="Calibri" w:cs="Calibri"/>
          <w:i/>
          <w:iCs/>
          <w:color w:val="000000" w:themeColor="text1"/>
        </w:rPr>
        <w:t xml:space="preserve">§ 2º Caberá ao usuário externo apresentar o original do documento no prazo de cinco dias, prorrogável uma única vez, contado da data de recebimento da </w:t>
      </w:r>
      <w:r w:rsidRPr="05475471">
        <w:rPr>
          <w:rFonts w:ascii="Calibri" w:eastAsia="Calibri" w:hAnsi="Calibri" w:cs="Calibri"/>
          <w:i/>
          <w:iCs/>
          <w:color w:val="000000" w:themeColor="text1"/>
        </w:rPr>
        <w:lastRenderedPageBreak/>
        <w:t xml:space="preserve">solicitação administrativa, </w:t>
      </w:r>
      <w:r w:rsidRPr="05475471">
        <w:rPr>
          <w:rFonts w:ascii="Calibri" w:eastAsia="Calibri" w:hAnsi="Calibri" w:cs="Calibri"/>
          <w:b/>
          <w:bCs/>
          <w:i/>
          <w:iCs/>
          <w:color w:val="000000" w:themeColor="text1"/>
        </w:rPr>
        <w:t>sob pena de restar caracterizado indício de fraude</w:t>
      </w:r>
      <w:r w:rsidRPr="05475471">
        <w:rPr>
          <w:rFonts w:ascii="Calibri" w:eastAsia="Calibri" w:hAnsi="Calibri" w:cs="Calibri"/>
          <w:i/>
          <w:iCs/>
          <w:color w:val="000000" w:themeColor="text1"/>
        </w:rPr>
        <w:t xml:space="preserve">. </w:t>
      </w:r>
      <w:r w:rsidRPr="05475471">
        <w:rPr>
          <w:rFonts w:ascii="Calibri" w:eastAsia="Calibri" w:hAnsi="Calibri" w:cs="Calibri"/>
          <w:b/>
          <w:bCs/>
          <w:i/>
          <w:iCs/>
          <w:color w:val="000000" w:themeColor="text1"/>
        </w:rPr>
        <w:t>(grifos nossos)</w:t>
      </w:r>
      <w:r w:rsidRPr="05475471">
        <w:rPr>
          <w:rFonts w:ascii="Calibri" w:eastAsia="Calibri" w:hAnsi="Calibri" w:cs="Calibri"/>
          <w:i/>
          <w:iCs/>
          <w:color w:val="000000" w:themeColor="text1"/>
        </w:rPr>
        <w:t>.</w:t>
      </w:r>
    </w:p>
    <w:p w14:paraId="38F168F6" w14:textId="4AE0DF88" w:rsidR="12D4A9E9" w:rsidRDefault="12D4A9E9" w:rsidP="05475471">
      <w:pPr>
        <w:jc w:val="both"/>
        <w:rPr>
          <w:rFonts w:ascii="Calibri" w:eastAsia="Calibri" w:hAnsi="Calibri" w:cs="Calibri"/>
          <w:color w:val="000000" w:themeColor="text1"/>
        </w:rPr>
      </w:pPr>
      <w:r w:rsidRPr="05475471">
        <w:rPr>
          <w:rFonts w:ascii="Calibri" w:eastAsia="Calibri" w:hAnsi="Calibri" w:cs="Calibri"/>
          <w:color w:val="000000" w:themeColor="text1"/>
        </w:rPr>
        <w:t xml:space="preserve">Por esses motivos, consideramos como sendo razoável a </w:t>
      </w:r>
      <w:r w:rsidR="4DD05EB1" w:rsidRPr="05475471">
        <w:rPr>
          <w:rFonts w:ascii="Calibri" w:eastAsia="Calibri" w:hAnsi="Calibri" w:cs="Calibri"/>
          <w:color w:val="000000" w:themeColor="text1"/>
        </w:rPr>
        <w:t>atualização da normativa vigente nos termos propostos.</w:t>
      </w:r>
    </w:p>
    <w:p w14:paraId="3DF5824C" w14:textId="0600227E" w:rsidR="05475471" w:rsidRDefault="05475471" w:rsidP="05475471">
      <w:pPr>
        <w:rPr>
          <w:b/>
          <w:bCs/>
        </w:rPr>
      </w:pPr>
    </w:p>
    <w:p w14:paraId="0CCAE043" w14:textId="7900B55A" w:rsidR="3596CF71" w:rsidRDefault="2D46B6A8" w:rsidP="29FED682">
      <w:pPr>
        <w:rPr>
          <w:b/>
          <w:bCs/>
        </w:rPr>
      </w:pPr>
      <w:proofErr w:type="spellStart"/>
      <w:r w:rsidRPr="05475471">
        <w:rPr>
          <w:b/>
          <w:bCs/>
        </w:rPr>
        <w:t>ii</w:t>
      </w:r>
      <w:proofErr w:type="spellEnd"/>
      <w:r w:rsidRPr="05475471">
        <w:rPr>
          <w:b/>
          <w:bCs/>
        </w:rPr>
        <w:t xml:space="preserve">. </w:t>
      </w:r>
      <w:r w:rsidR="3596CF71" w:rsidRPr="05475471">
        <w:rPr>
          <w:b/>
          <w:bCs/>
        </w:rPr>
        <w:t xml:space="preserve">Artigo 9º </w:t>
      </w:r>
    </w:p>
    <w:tbl>
      <w:tblPr>
        <w:tblStyle w:val="Tabelacomgrade"/>
        <w:tblW w:w="0" w:type="auto"/>
        <w:tblLayout w:type="fixed"/>
        <w:tblLook w:val="06A0" w:firstRow="1" w:lastRow="0" w:firstColumn="1" w:lastColumn="0" w:noHBand="1" w:noVBand="1"/>
      </w:tblPr>
      <w:tblGrid>
        <w:gridCol w:w="4508"/>
        <w:gridCol w:w="4508"/>
      </w:tblGrid>
      <w:tr w:rsidR="3C620DC3" w14:paraId="0D5CEF7C" w14:textId="77777777" w:rsidTr="05475471">
        <w:tc>
          <w:tcPr>
            <w:tcW w:w="4508" w:type="dxa"/>
            <w:shd w:val="clear" w:color="auto" w:fill="C00000"/>
          </w:tcPr>
          <w:p w14:paraId="5EA233BA" w14:textId="171F4135" w:rsidR="23615015" w:rsidRDefault="23615015" w:rsidP="2F8A6C8D">
            <w:pPr>
              <w:jc w:val="center"/>
              <w:rPr>
                <w:b/>
              </w:rPr>
            </w:pPr>
            <w:r w:rsidRPr="2DEE9C2C">
              <w:rPr>
                <w:b/>
              </w:rPr>
              <w:t>Proposta de minuta</w:t>
            </w:r>
          </w:p>
        </w:tc>
        <w:tc>
          <w:tcPr>
            <w:tcW w:w="4508" w:type="dxa"/>
            <w:shd w:val="clear" w:color="auto" w:fill="C00000"/>
          </w:tcPr>
          <w:p w14:paraId="694879A2" w14:textId="57D96B8A" w:rsidR="23615015" w:rsidRDefault="23615015" w:rsidP="2F8A6C8D">
            <w:pPr>
              <w:jc w:val="center"/>
              <w:rPr>
                <w:b/>
              </w:rPr>
            </w:pPr>
            <w:r w:rsidRPr="2DEE9C2C">
              <w:rPr>
                <w:b/>
              </w:rPr>
              <w:t>Sugestão de mudança</w:t>
            </w:r>
          </w:p>
        </w:tc>
      </w:tr>
      <w:tr w:rsidR="3C620DC3" w14:paraId="0EA7004C" w14:textId="77777777" w:rsidTr="05475471">
        <w:tc>
          <w:tcPr>
            <w:tcW w:w="4508" w:type="dxa"/>
          </w:tcPr>
          <w:p w14:paraId="5AC81328" w14:textId="03BAF238" w:rsidR="3C620DC3" w:rsidRDefault="3BE18C28" w:rsidP="2DEE9C2C">
            <w:pPr>
              <w:jc w:val="both"/>
            </w:pPr>
            <w:r>
              <w:t xml:space="preserve">Art. 9º A partir de 26 de julho de 2021, os processos eletrônicos referentes às investigações e procedimentos de defesa comercial a que faz referência o art. 1º deverão ser protocolados diretamente no SEI/ME </w:t>
            </w:r>
            <w:proofErr w:type="gramStart"/>
            <w:r>
              <w:t>e  tramitarão</w:t>
            </w:r>
            <w:proofErr w:type="gramEnd"/>
            <w:r>
              <w:t xml:space="preserve"> unicamente nesse sistema</w:t>
            </w:r>
          </w:p>
        </w:tc>
        <w:tc>
          <w:tcPr>
            <w:tcW w:w="4508" w:type="dxa"/>
          </w:tcPr>
          <w:p w14:paraId="2F3A7816" w14:textId="37E53B3D" w:rsidR="3C620DC3" w:rsidRDefault="3C620DC3" w:rsidP="2DEE9C2C">
            <w:pPr>
              <w:jc w:val="both"/>
            </w:pPr>
          </w:p>
        </w:tc>
      </w:tr>
      <w:tr w:rsidR="2DEE9C2C" w14:paraId="10754929" w14:textId="77777777" w:rsidTr="05475471">
        <w:tc>
          <w:tcPr>
            <w:tcW w:w="4508" w:type="dxa"/>
          </w:tcPr>
          <w:p w14:paraId="02C6B9BC" w14:textId="6F511D70" w:rsidR="6E3D76B3" w:rsidRDefault="6E3D76B3" w:rsidP="2DEE9C2C">
            <w:pPr>
              <w:jc w:val="both"/>
            </w:pPr>
            <w:r>
              <w:t>§1º As novas investigações e procedimentos de defesa comercial</w:t>
            </w:r>
            <w:r w:rsidR="50BC17F1">
              <w:t xml:space="preserve"> </w:t>
            </w:r>
            <w:r>
              <w:t>protocolados a partir da data referida no caput tramitarão unicamente no SEI/ME.</w:t>
            </w:r>
          </w:p>
        </w:tc>
        <w:tc>
          <w:tcPr>
            <w:tcW w:w="4508" w:type="dxa"/>
          </w:tcPr>
          <w:p w14:paraId="2B0FD53A" w14:textId="746082DA" w:rsidR="2DEE9C2C" w:rsidRDefault="2DEE9C2C" w:rsidP="2DEE9C2C">
            <w:pPr>
              <w:jc w:val="both"/>
            </w:pPr>
          </w:p>
        </w:tc>
      </w:tr>
      <w:tr w:rsidR="2DEE9C2C" w14:paraId="43DA6D06" w14:textId="77777777" w:rsidTr="05475471">
        <w:tc>
          <w:tcPr>
            <w:tcW w:w="4508" w:type="dxa"/>
          </w:tcPr>
          <w:p w14:paraId="1BD3ED3E" w14:textId="754D5EB9" w:rsidR="6E3D76B3" w:rsidRDefault="6E3D76B3" w:rsidP="2DEE9C2C">
            <w:pPr>
              <w:jc w:val="both"/>
            </w:pPr>
            <w:r>
              <w:t>§2º As investigações e procedimentos de defesa comercial já protocolados</w:t>
            </w:r>
            <w:r w:rsidR="123D99E0">
              <w:t xml:space="preserve"> </w:t>
            </w:r>
            <w:r>
              <w:t>e/ou em curso até a data referida no caput terão seus autos transferidos para o SEI/ME</w:t>
            </w:r>
            <w:r w:rsidR="4611CC4E">
              <w:t xml:space="preserve"> </w:t>
            </w:r>
            <w:r>
              <w:t>pela Subsecretaria de Defesa Comercial e Interesse Público, conforme art. 4º desta</w:t>
            </w:r>
            <w:r w:rsidR="713B90CF">
              <w:t xml:space="preserve"> </w:t>
            </w:r>
            <w:r>
              <w:t>Portaria, até a data referida no caput, e suas respectivas partes interessadas serão</w:t>
            </w:r>
            <w:r w:rsidR="7E36D220">
              <w:t xml:space="preserve"> </w:t>
            </w:r>
            <w:r>
              <w:t>notificadas e os número dos correspondentes novos processos eletrônicos que tramitarão</w:t>
            </w:r>
            <w:r w:rsidR="25B272E1">
              <w:t xml:space="preserve"> </w:t>
            </w:r>
            <w:r>
              <w:t xml:space="preserve">no SEI/ME serão registrados nos autos do processo no Sistema </w:t>
            </w:r>
            <w:proofErr w:type="spellStart"/>
            <w:r>
              <w:t>Decom</w:t>
            </w:r>
            <w:proofErr w:type="spellEnd"/>
            <w:r>
              <w:t xml:space="preserve"> Digital – SDD.</w:t>
            </w:r>
          </w:p>
        </w:tc>
        <w:tc>
          <w:tcPr>
            <w:tcW w:w="4508" w:type="dxa"/>
          </w:tcPr>
          <w:p w14:paraId="3168AC4B" w14:textId="601FDB1E" w:rsidR="2DEE9C2C" w:rsidRDefault="2DEE9C2C" w:rsidP="2DEE9C2C">
            <w:pPr>
              <w:jc w:val="both"/>
            </w:pPr>
          </w:p>
        </w:tc>
      </w:tr>
      <w:tr w:rsidR="2DEE9C2C" w14:paraId="47F1CDB1" w14:textId="77777777" w:rsidTr="05475471">
        <w:tc>
          <w:tcPr>
            <w:tcW w:w="4508" w:type="dxa"/>
          </w:tcPr>
          <w:p w14:paraId="13C1A1D1" w14:textId="1E6E6E20" w:rsidR="6E3D76B3" w:rsidRDefault="6E3D76B3" w:rsidP="2DEE9C2C">
            <w:pPr>
              <w:jc w:val="both"/>
            </w:pPr>
            <w:r>
              <w:t>§3º Os autos das investigações e procedimentos de defesa comercial</w:t>
            </w:r>
            <w:r w:rsidR="379CA401">
              <w:t xml:space="preserve"> </w:t>
            </w:r>
            <w:r>
              <w:t>encerrados até a data referida no caput serão transferidos para o SEI de forma gradativa,</w:t>
            </w:r>
            <w:r w:rsidR="6EEF47AC">
              <w:t xml:space="preserve"> </w:t>
            </w:r>
            <w:r>
              <w:t>de acordo com a disponibilidade da Subsecretaria de Defesa Comercial e Interesse</w:t>
            </w:r>
            <w:r w:rsidR="5189F0B8">
              <w:t xml:space="preserve"> </w:t>
            </w:r>
            <w:r>
              <w:t>Público.</w:t>
            </w:r>
          </w:p>
        </w:tc>
        <w:tc>
          <w:tcPr>
            <w:tcW w:w="4508" w:type="dxa"/>
          </w:tcPr>
          <w:p w14:paraId="34054814" w14:textId="09537A29" w:rsidR="2DEE9C2C" w:rsidRDefault="2DEE9C2C" w:rsidP="2DEE9C2C">
            <w:pPr>
              <w:jc w:val="both"/>
            </w:pPr>
          </w:p>
        </w:tc>
      </w:tr>
      <w:tr w:rsidR="2DEE9C2C" w14:paraId="7633616D" w14:textId="77777777" w:rsidTr="05475471">
        <w:tc>
          <w:tcPr>
            <w:tcW w:w="4508" w:type="dxa"/>
            <w:vAlign w:val="center"/>
          </w:tcPr>
          <w:p w14:paraId="7C3E3FE4" w14:textId="16E8D45B" w:rsidR="6E3D76B3" w:rsidRDefault="6E3D76B3" w:rsidP="29FED682">
            <w:pPr>
              <w:jc w:val="center"/>
              <w:rPr>
                <w:b/>
              </w:rPr>
            </w:pPr>
            <w:r w:rsidRPr="29FED682">
              <w:rPr>
                <w:b/>
              </w:rPr>
              <w:t>Item novo</w:t>
            </w:r>
          </w:p>
        </w:tc>
        <w:tc>
          <w:tcPr>
            <w:tcW w:w="4508" w:type="dxa"/>
          </w:tcPr>
          <w:p w14:paraId="1AE363F3" w14:textId="298654BB" w:rsidR="6E3D76B3" w:rsidRDefault="546CF7C3" w:rsidP="05475471">
            <w:pPr>
              <w:jc w:val="both"/>
              <w:rPr>
                <w:b/>
                <w:bCs/>
                <w:color w:val="C00000"/>
              </w:rPr>
            </w:pPr>
            <w:r w:rsidRPr="05475471">
              <w:rPr>
                <w:b/>
                <w:bCs/>
                <w:color w:val="C00000"/>
              </w:rPr>
              <w:t>§X O disposto no §2º não se aplica aos procedimentos iniciados a</w:t>
            </w:r>
            <w:r w:rsidR="2FEF131C" w:rsidRPr="05475471">
              <w:rPr>
                <w:b/>
                <w:bCs/>
                <w:color w:val="C00000"/>
              </w:rPr>
              <w:t>té</w:t>
            </w:r>
            <w:r w:rsidRPr="05475471">
              <w:rPr>
                <w:b/>
                <w:bCs/>
                <w:color w:val="C00000"/>
              </w:rPr>
              <w:t xml:space="preserve"> </w:t>
            </w:r>
            <w:r w:rsidR="00831577">
              <w:rPr>
                <w:b/>
                <w:bCs/>
                <w:color w:val="C00000"/>
              </w:rPr>
              <w:t>31 de dezembro</w:t>
            </w:r>
            <w:r w:rsidRPr="05475471">
              <w:rPr>
                <w:b/>
                <w:bCs/>
                <w:color w:val="C00000"/>
              </w:rPr>
              <w:t xml:space="preserve"> de 2020.</w:t>
            </w:r>
          </w:p>
        </w:tc>
      </w:tr>
    </w:tbl>
    <w:p w14:paraId="621122B2" w14:textId="7CDE4D9D" w:rsidR="3C620DC3" w:rsidRDefault="3C620DC3" w:rsidP="3C620DC3"/>
    <w:p w14:paraId="4D52D0A0" w14:textId="3107558D" w:rsidR="23615015" w:rsidRDefault="23615015" w:rsidP="29FED682">
      <w:pPr>
        <w:jc w:val="both"/>
        <w:rPr>
          <w:b/>
        </w:rPr>
      </w:pPr>
      <w:r w:rsidRPr="2F8A6C8D">
        <w:rPr>
          <w:b/>
        </w:rPr>
        <w:t>Justificativa/Comentários:</w:t>
      </w:r>
    </w:p>
    <w:p w14:paraId="23F3B023" w14:textId="6BCDFCAB" w:rsidR="24C6C3CA" w:rsidRDefault="24C6C3CA" w:rsidP="29FED682">
      <w:pPr>
        <w:jc w:val="both"/>
      </w:pPr>
      <w:r>
        <w:t>De acordo com a minuta de portaria em consulta pública, os proce</w:t>
      </w:r>
      <w:r w:rsidR="6EB36FBB">
        <w:t>ss</w:t>
      </w:r>
      <w:r>
        <w:t xml:space="preserve">os de defesa comercial </w:t>
      </w:r>
      <w:r w:rsidR="5D8944B9">
        <w:t>serão centralizados</w:t>
      </w:r>
      <w:r>
        <w:t xml:space="preserve"> </w:t>
      </w:r>
      <w:r w:rsidR="00B057E2">
        <w:t xml:space="preserve">no </w:t>
      </w:r>
      <w:r>
        <w:t>âmbito do SEI</w:t>
      </w:r>
      <w:r w:rsidR="683553D8">
        <w:t xml:space="preserve">/ME, buscando-se incluir tanto </w:t>
      </w:r>
      <w:r w:rsidR="59C63CC6">
        <w:t>investigações novas</w:t>
      </w:r>
      <w:r w:rsidR="00B057E2">
        <w:t xml:space="preserve"> quanto</w:t>
      </w:r>
      <w:r w:rsidR="59C63CC6">
        <w:t xml:space="preserve"> aquelas que estão em curso no momento da produção de efeitos da</w:t>
      </w:r>
      <w:r w:rsidR="09F72E23">
        <w:t xml:space="preserve"> obrigação (26 de julho de 2021). </w:t>
      </w:r>
      <w:r w:rsidR="13115DEA">
        <w:t xml:space="preserve">Para os processos em andamento, </w:t>
      </w:r>
      <w:r w:rsidR="00A861B9">
        <w:t>a minuta sugere</w:t>
      </w:r>
      <w:r w:rsidR="13115DEA">
        <w:t xml:space="preserve"> que seja feita a migração dos seus autos para o novo sistema até o </w:t>
      </w:r>
      <w:r w:rsidR="00A861B9">
        <w:t xml:space="preserve">referido </w:t>
      </w:r>
      <w:r w:rsidR="13115DEA">
        <w:t>marco temporal estabelecido</w:t>
      </w:r>
      <w:r w:rsidR="00A861B9">
        <w:t>,</w:t>
      </w:r>
      <w:r w:rsidR="4F7D0F42">
        <w:t xml:space="preserve"> </w:t>
      </w:r>
      <w:r w:rsidR="00A861B9">
        <w:t>sendo a mudança acompanhada de</w:t>
      </w:r>
      <w:r w:rsidR="4F7D0F42">
        <w:t xml:space="preserve"> notificação às partes interessadas sobre a mudança. </w:t>
      </w:r>
    </w:p>
    <w:p w14:paraId="214312EE" w14:textId="61FE059A" w:rsidR="4F7D0F42" w:rsidRDefault="4F7D0F42" w:rsidP="29FED682">
      <w:pPr>
        <w:jc w:val="both"/>
      </w:pPr>
      <w:r>
        <w:lastRenderedPageBreak/>
        <w:t>A sugestão de novo parágrafo ao texto da minuta visa preservar a previsibilidade e a segurança jurídica nos procedimentos que estão em andamento e próximos do seu encerramento. Entende-se</w:t>
      </w:r>
      <w:r w:rsidR="00407A76">
        <w:t xml:space="preserve"> </w:t>
      </w:r>
      <w:r w:rsidR="00407A76" w:rsidRPr="00555918">
        <w:t>que</w:t>
      </w:r>
      <w:r w:rsidRPr="00555918">
        <w:t xml:space="preserve"> </w:t>
      </w:r>
      <w:r>
        <w:t>impor a mu</w:t>
      </w:r>
      <w:r w:rsidR="31FBB080">
        <w:t>dança de sistemática nesses casos tende a onerar de forma desnecessária as partes interessadas</w:t>
      </w:r>
      <w:r w:rsidR="009075E7">
        <w:t>, face à necessidade de familiarização</w:t>
      </w:r>
      <w:r w:rsidR="31FBB080">
        <w:t xml:space="preserve"> </w:t>
      </w:r>
      <w:r w:rsidR="009075E7">
        <w:t>com</w:t>
      </w:r>
      <w:r w:rsidR="7F22C430">
        <w:t xml:space="preserve"> o novo sistema </w:t>
      </w:r>
      <w:r w:rsidR="009075E7">
        <w:t>simultaneamente à necessidade de</w:t>
      </w:r>
      <w:r w:rsidR="7F22C430">
        <w:t xml:space="preserve"> atuar </w:t>
      </w:r>
      <w:r w:rsidR="009075E7">
        <w:t xml:space="preserve">em </w:t>
      </w:r>
      <w:r w:rsidR="4A10A408">
        <w:t>processos</w:t>
      </w:r>
      <w:r w:rsidR="009075E7">
        <w:t xml:space="preserve"> em curso</w:t>
      </w:r>
      <w:r w:rsidR="4A10A408">
        <w:t xml:space="preserve"> </w:t>
      </w:r>
      <w:r w:rsidR="009075E7">
        <w:t>(que</w:t>
      </w:r>
      <w:r w:rsidR="4A10A408">
        <w:t xml:space="preserve"> já mobilizam recursos consideráveis </w:t>
      </w:r>
      <w:r w:rsidR="00D20D9E" w:rsidRPr="00555918">
        <w:t>na</w:t>
      </w:r>
      <w:r w:rsidR="001A1854" w:rsidRPr="00555918">
        <w:t xml:space="preserve"> </w:t>
      </w:r>
      <w:r w:rsidR="4A10A408">
        <w:t>preparação e organização de informações, r</w:t>
      </w:r>
      <w:r w:rsidR="296316A1">
        <w:t>ecebimento de verificações in loco, participação em audiências e submissão de respostas e comentários à autoridade e frente às intervençõe</w:t>
      </w:r>
      <w:r w:rsidR="4F760686">
        <w:t>s de outras partes</w:t>
      </w:r>
      <w:r w:rsidR="009075E7">
        <w:t>)</w:t>
      </w:r>
      <w:r w:rsidR="4F760686">
        <w:t>.</w:t>
      </w:r>
    </w:p>
    <w:p w14:paraId="4533744D" w14:textId="229699D4" w:rsidR="4F760686" w:rsidRDefault="4F760686" w:rsidP="29FED682">
      <w:pPr>
        <w:jc w:val="both"/>
      </w:pPr>
      <w:r>
        <w:t xml:space="preserve">Conforme dados disponibilizados pela autoridade, há atualmente </w:t>
      </w:r>
      <w:r w:rsidR="00132F1F">
        <w:rPr>
          <w:b/>
          <w:bCs/>
        </w:rPr>
        <w:t>19</w:t>
      </w:r>
      <w:r w:rsidR="00132F1F" w:rsidRPr="29FED682">
        <w:rPr>
          <w:b/>
          <w:bCs/>
        </w:rPr>
        <w:t xml:space="preserve"> </w:t>
      </w:r>
      <w:r w:rsidRPr="29FED682">
        <w:rPr>
          <w:b/>
          <w:bCs/>
        </w:rPr>
        <w:t>processos</w:t>
      </w:r>
      <w:r>
        <w:t xml:space="preserve"> de defesa comercial em curso, dos quais um já está sendo conduzido via SEI/ME (avaliação sobre a retomada de cobrança do direito antidumping aplicado </w:t>
      </w:r>
      <w:r w:rsidR="03B0B64C">
        <w:t xml:space="preserve">às importações de PVC-S originárias da China – suspenso com fundamento no art. 109 do Decreto </w:t>
      </w:r>
      <w:r w:rsidR="00A861B9">
        <w:t>n</w:t>
      </w:r>
      <w:r w:rsidR="03B0B64C">
        <w:t xml:space="preserve">º 8.058, de 2013). Desse total, </w:t>
      </w:r>
      <w:r w:rsidR="00132F1F">
        <w:rPr>
          <w:b/>
          <w:bCs/>
        </w:rPr>
        <w:t>sete</w:t>
      </w:r>
      <w:r w:rsidR="00132F1F" w:rsidRPr="29FED682">
        <w:rPr>
          <w:b/>
          <w:bCs/>
        </w:rPr>
        <w:t xml:space="preserve"> </w:t>
      </w:r>
      <w:r w:rsidR="6BA2F321">
        <w:t xml:space="preserve">foram iniciados em 2020, sendo que em </w:t>
      </w:r>
      <w:r w:rsidR="004F5241">
        <w:t xml:space="preserve">seis </w:t>
      </w:r>
      <w:r w:rsidR="6BA2F321">
        <w:t>deles as circulares com prazos sobre os processos indicam que as determinaçõe</w:t>
      </w:r>
      <w:r w:rsidR="385B3E28">
        <w:t xml:space="preserve">s finais devem ser expedidas ainda em 2021. </w:t>
      </w:r>
      <w:r w:rsidR="597EC497">
        <w:t xml:space="preserve">Por essa razão, consideramos razoável que esses </w:t>
      </w:r>
      <w:r w:rsidR="004F5241">
        <w:t xml:space="preserve">sete </w:t>
      </w:r>
      <w:r w:rsidR="597EC497">
        <w:t xml:space="preserve">casos sejam poupados </w:t>
      </w:r>
      <w:r w:rsidR="11BD1365">
        <w:t>da transição para o SEI/ME até o seu encerramento.</w:t>
      </w:r>
    </w:p>
    <w:p w14:paraId="09128427" w14:textId="38BB435E" w:rsidR="29FED682" w:rsidRDefault="29FED682" w:rsidP="29FED682">
      <w:pPr>
        <w:jc w:val="both"/>
      </w:pPr>
    </w:p>
    <w:p w14:paraId="48FD6412" w14:textId="296071CB" w:rsidR="11BD1365" w:rsidRPr="009075E7" w:rsidRDefault="11BD1365" w:rsidP="29FED682">
      <w:pPr>
        <w:jc w:val="center"/>
        <w:rPr>
          <w:rFonts w:ascii="Calibri" w:hAnsi="Calibri" w:cs="Calibri"/>
          <w:sz w:val="18"/>
          <w:szCs w:val="18"/>
        </w:rPr>
      </w:pPr>
      <w:r w:rsidRPr="009075E7">
        <w:rPr>
          <w:rFonts w:ascii="Calibri" w:hAnsi="Calibri" w:cs="Calibri"/>
          <w:sz w:val="20"/>
          <w:szCs w:val="20"/>
        </w:rPr>
        <w:t xml:space="preserve">Tabela </w:t>
      </w:r>
      <w:r w:rsidR="004F5241">
        <w:rPr>
          <w:rFonts w:ascii="Calibri" w:hAnsi="Calibri" w:cs="Calibri"/>
          <w:sz w:val="20"/>
          <w:szCs w:val="20"/>
        </w:rPr>
        <w:t>1</w:t>
      </w:r>
      <w:r w:rsidRPr="009075E7">
        <w:rPr>
          <w:rFonts w:ascii="Calibri" w:hAnsi="Calibri" w:cs="Calibri"/>
          <w:sz w:val="20"/>
          <w:szCs w:val="20"/>
        </w:rPr>
        <w:t>. Processos de defesa comercial</w:t>
      </w:r>
      <w:r w:rsidR="009075E7">
        <w:rPr>
          <w:rFonts w:ascii="Calibri" w:hAnsi="Calibri" w:cs="Calibri"/>
          <w:sz w:val="20"/>
          <w:szCs w:val="20"/>
        </w:rPr>
        <w:t>,</w:t>
      </w:r>
      <w:r w:rsidRPr="009075E7">
        <w:rPr>
          <w:rFonts w:ascii="Calibri" w:hAnsi="Calibri" w:cs="Calibri"/>
          <w:sz w:val="20"/>
          <w:szCs w:val="20"/>
        </w:rPr>
        <w:t xml:space="preserve"> iniciados no ano de 2020</w:t>
      </w:r>
      <w:r w:rsidR="009075E7">
        <w:rPr>
          <w:rFonts w:ascii="Calibri" w:hAnsi="Calibri" w:cs="Calibri"/>
          <w:sz w:val="20"/>
          <w:szCs w:val="20"/>
        </w:rPr>
        <w:t>, atualmente em curso</w:t>
      </w:r>
      <w:r w:rsidRPr="009075E7">
        <w:rPr>
          <w:rFonts w:ascii="Calibri" w:hAnsi="Calibri" w:cs="Calibri"/>
          <w:sz w:val="20"/>
          <w:szCs w:val="20"/>
        </w:rPr>
        <w:t xml:space="preserve">. Fonte: Elaboração própria baseada em dados da </w:t>
      </w:r>
      <w:r w:rsidR="009075E7">
        <w:rPr>
          <w:rFonts w:ascii="Calibri" w:hAnsi="Calibri" w:cs="Calibri"/>
          <w:sz w:val="20"/>
          <w:szCs w:val="20"/>
        </w:rPr>
        <w:t>SDCOM</w:t>
      </w:r>
      <w:r w:rsidR="009075E7" w:rsidRPr="009075E7">
        <w:rPr>
          <w:rFonts w:ascii="Calibri" w:hAnsi="Calibri" w:cs="Calibri"/>
          <w:sz w:val="20"/>
          <w:szCs w:val="20"/>
        </w:rPr>
        <w:t xml:space="preserve"> </w:t>
      </w:r>
      <w:r w:rsidRPr="009075E7">
        <w:rPr>
          <w:rFonts w:ascii="Calibri" w:hAnsi="Calibri" w:cs="Calibri"/>
          <w:sz w:val="20"/>
          <w:szCs w:val="20"/>
        </w:rPr>
        <w:t>e do Diário Oficial da União.</w:t>
      </w:r>
    </w:p>
    <w:tbl>
      <w:tblPr>
        <w:tblStyle w:val="Tabelacomgrade"/>
        <w:tblW w:w="0" w:type="auto"/>
        <w:jc w:val="center"/>
        <w:tblLayout w:type="fixed"/>
        <w:tblLook w:val="06A0" w:firstRow="1" w:lastRow="0" w:firstColumn="1" w:lastColumn="0" w:noHBand="1" w:noVBand="1"/>
      </w:tblPr>
      <w:tblGrid>
        <w:gridCol w:w="3105"/>
        <w:gridCol w:w="1770"/>
        <w:gridCol w:w="2337"/>
      </w:tblGrid>
      <w:tr w:rsidR="29FED682" w:rsidRPr="009075E7" w14:paraId="7CF6549E" w14:textId="77777777" w:rsidTr="29FED682">
        <w:trPr>
          <w:trHeight w:val="540"/>
          <w:jc w:val="center"/>
        </w:trPr>
        <w:tc>
          <w:tcPr>
            <w:tcW w:w="3105" w:type="dxa"/>
            <w:tcBorders>
              <w:top w:val="single" w:sz="4" w:space="0" w:color="auto"/>
              <w:left w:val="single" w:sz="4" w:space="0" w:color="auto"/>
              <w:bottom w:val="single" w:sz="4" w:space="0" w:color="auto"/>
              <w:right w:val="single" w:sz="4" w:space="0" w:color="auto"/>
            </w:tcBorders>
            <w:vAlign w:val="center"/>
          </w:tcPr>
          <w:p w14:paraId="0C194057" w14:textId="22298EA9" w:rsidR="14734902" w:rsidRPr="009075E7" w:rsidRDefault="14734902" w:rsidP="29FED682">
            <w:pPr>
              <w:jc w:val="center"/>
              <w:rPr>
                <w:rFonts w:ascii="Calibri" w:eastAsia="Source Sans Pro" w:hAnsi="Calibri" w:cs="Calibri"/>
                <w:b/>
                <w:bCs/>
                <w:color w:val="000000" w:themeColor="text1"/>
                <w:sz w:val="20"/>
                <w:szCs w:val="20"/>
              </w:rPr>
            </w:pPr>
            <w:r w:rsidRPr="009075E7">
              <w:rPr>
                <w:rFonts w:ascii="Calibri" w:eastAsia="Source Sans Pro" w:hAnsi="Calibri" w:cs="Calibri"/>
                <w:b/>
                <w:bCs/>
                <w:color w:val="000000" w:themeColor="text1"/>
                <w:sz w:val="20"/>
                <w:szCs w:val="20"/>
              </w:rPr>
              <w:t>Produto objeto de processo</w:t>
            </w:r>
          </w:p>
        </w:tc>
        <w:tc>
          <w:tcPr>
            <w:tcW w:w="1770" w:type="dxa"/>
            <w:tcBorders>
              <w:top w:val="single" w:sz="4" w:space="0" w:color="auto"/>
              <w:left w:val="single" w:sz="4" w:space="0" w:color="auto"/>
              <w:bottom w:val="single" w:sz="4" w:space="0" w:color="auto"/>
              <w:right w:val="single" w:sz="4" w:space="0" w:color="auto"/>
            </w:tcBorders>
            <w:vAlign w:val="center"/>
          </w:tcPr>
          <w:p w14:paraId="4928DA41" w14:textId="1C6B474E" w:rsidR="14734902" w:rsidRPr="009075E7" w:rsidRDefault="14734902" w:rsidP="29FED682">
            <w:pPr>
              <w:spacing w:line="259" w:lineRule="auto"/>
              <w:jc w:val="center"/>
              <w:rPr>
                <w:rFonts w:ascii="Calibri" w:eastAsia="Source Sans Pro" w:hAnsi="Calibri" w:cs="Calibri"/>
                <w:b/>
                <w:bCs/>
                <w:color w:val="000000" w:themeColor="text1"/>
                <w:sz w:val="20"/>
                <w:szCs w:val="20"/>
              </w:rPr>
            </w:pPr>
            <w:r w:rsidRPr="009075E7">
              <w:rPr>
                <w:rFonts w:ascii="Calibri" w:eastAsia="Source Sans Pro" w:hAnsi="Calibri" w:cs="Calibri"/>
                <w:b/>
                <w:bCs/>
                <w:color w:val="000000" w:themeColor="text1"/>
                <w:sz w:val="20"/>
                <w:szCs w:val="20"/>
              </w:rPr>
              <w:t>Data de início do processo</w:t>
            </w:r>
          </w:p>
        </w:tc>
        <w:tc>
          <w:tcPr>
            <w:tcW w:w="2337" w:type="dxa"/>
            <w:tcBorders>
              <w:top w:val="single" w:sz="4" w:space="0" w:color="auto"/>
              <w:left w:val="single" w:sz="4" w:space="0" w:color="auto"/>
              <w:bottom w:val="single" w:sz="4" w:space="0" w:color="auto"/>
              <w:right w:val="single" w:sz="4" w:space="0" w:color="auto"/>
            </w:tcBorders>
            <w:vAlign w:val="center"/>
          </w:tcPr>
          <w:p w14:paraId="39F1E34E" w14:textId="7D5E0A1D" w:rsidR="14734902" w:rsidRPr="009075E7" w:rsidRDefault="14734902" w:rsidP="29FED682">
            <w:pPr>
              <w:spacing w:line="259" w:lineRule="auto"/>
              <w:jc w:val="center"/>
              <w:rPr>
                <w:rFonts w:ascii="Calibri" w:eastAsia="Source Sans Pro" w:hAnsi="Calibri" w:cs="Calibri"/>
                <w:b/>
                <w:bCs/>
                <w:color w:val="000000" w:themeColor="text1"/>
                <w:sz w:val="20"/>
                <w:szCs w:val="20"/>
              </w:rPr>
            </w:pPr>
            <w:r w:rsidRPr="009075E7">
              <w:rPr>
                <w:rFonts w:ascii="Calibri" w:eastAsia="Source Sans Pro" w:hAnsi="Calibri" w:cs="Calibri"/>
                <w:b/>
                <w:bCs/>
                <w:color w:val="000000" w:themeColor="text1"/>
                <w:sz w:val="20"/>
                <w:szCs w:val="20"/>
              </w:rPr>
              <w:t>Expectativa de expedição da determinação final</w:t>
            </w:r>
          </w:p>
        </w:tc>
      </w:tr>
      <w:tr w:rsidR="29FED682" w:rsidRPr="009075E7" w14:paraId="020ECDDF"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2C8F21A5" w14:textId="068328F7" w:rsidR="29FED682" w:rsidRPr="009075E7" w:rsidRDefault="29FED682" w:rsidP="29FED682">
            <w:pPr>
              <w:jc w:val="both"/>
              <w:rPr>
                <w:rFonts w:ascii="Calibri" w:hAnsi="Calibri" w:cs="Calibri"/>
              </w:rPr>
            </w:pPr>
            <w:r w:rsidRPr="009075E7">
              <w:rPr>
                <w:rFonts w:ascii="Calibri" w:eastAsia="Source Sans Pro" w:hAnsi="Calibri" w:cs="Calibri"/>
                <w:color w:val="000000" w:themeColor="text1"/>
                <w:sz w:val="20"/>
                <w:szCs w:val="20"/>
              </w:rPr>
              <w:t>Laminados de Alumínio</w:t>
            </w:r>
          </w:p>
        </w:tc>
        <w:tc>
          <w:tcPr>
            <w:tcW w:w="1770" w:type="dxa"/>
            <w:tcBorders>
              <w:top w:val="single" w:sz="4" w:space="0" w:color="auto"/>
              <w:left w:val="single" w:sz="4" w:space="0" w:color="auto"/>
              <w:bottom w:val="single" w:sz="4" w:space="0" w:color="auto"/>
              <w:right w:val="single" w:sz="4" w:space="0" w:color="auto"/>
            </w:tcBorders>
            <w:vAlign w:val="center"/>
          </w:tcPr>
          <w:p w14:paraId="6A4A3276" w14:textId="233CB3FB"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29/07/2020</w:t>
            </w:r>
          </w:p>
        </w:tc>
        <w:tc>
          <w:tcPr>
            <w:tcW w:w="2337" w:type="dxa"/>
            <w:tcBorders>
              <w:top w:val="single" w:sz="4" w:space="0" w:color="auto"/>
              <w:left w:val="single" w:sz="4" w:space="0" w:color="auto"/>
              <w:bottom w:val="single" w:sz="4" w:space="0" w:color="auto"/>
              <w:right w:val="single" w:sz="4" w:space="0" w:color="auto"/>
            </w:tcBorders>
            <w:vAlign w:val="center"/>
          </w:tcPr>
          <w:p w14:paraId="7BFE6296" w14:textId="6CDFF05B"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23/11/2021</w:t>
            </w:r>
          </w:p>
        </w:tc>
      </w:tr>
      <w:tr w:rsidR="29FED682" w:rsidRPr="009075E7" w14:paraId="4D41F767"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5764E3DC" w14:textId="58AE034A" w:rsidR="29FED682" w:rsidRPr="009075E7" w:rsidRDefault="29FED682" w:rsidP="29FED682">
            <w:pPr>
              <w:jc w:val="both"/>
              <w:rPr>
                <w:rFonts w:ascii="Calibri" w:hAnsi="Calibri" w:cs="Calibri"/>
              </w:rPr>
            </w:pPr>
            <w:r w:rsidRPr="009075E7">
              <w:rPr>
                <w:rFonts w:ascii="Calibri" w:eastAsia="Source Sans Pro" w:hAnsi="Calibri" w:cs="Calibri"/>
                <w:color w:val="000000" w:themeColor="text1"/>
                <w:sz w:val="20"/>
                <w:szCs w:val="20"/>
              </w:rPr>
              <w:t>Anidrido Ftálico</w:t>
            </w:r>
          </w:p>
        </w:tc>
        <w:tc>
          <w:tcPr>
            <w:tcW w:w="1770" w:type="dxa"/>
            <w:tcBorders>
              <w:top w:val="single" w:sz="4" w:space="0" w:color="auto"/>
              <w:left w:val="single" w:sz="4" w:space="0" w:color="auto"/>
              <w:bottom w:val="single" w:sz="4" w:space="0" w:color="auto"/>
              <w:right w:val="single" w:sz="4" w:space="0" w:color="auto"/>
            </w:tcBorders>
            <w:vAlign w:val="center"/>
          </w:tcPr>
          <w:p w14:paraId="3571E3CB" w14:textId="0892F115"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23/07/2020</w:t>
            </w:r>
          </w:p>
        </w:tc>
        <w:tc>
          <w:tcPr>
            <w:tcW w:w="2337" w:type="dxa"/>
            <w:tcBorders>
              <w:top w:val="single" w:sz="4" w:space="0" w:color="auto"/>
              <w:left w:val="single" w:sz="4" w:space="0" w:color="auto"/>
              <w:bottom w:val="single" w:sz="4" w:space="0" w:color="auto"/>
              <w:right w:val="single" w:sz="4" w:space="0" w:color="auto"/>
            </w:tcBorders>
            <w:vAlign w:val="center"/>
          </w:tcPr>
          <w:p w14:paraId="0C8B1235" w14:textId="4EFBB581"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06/09/2021</w:t>
            </w:r>
          </w:p>
        </w:tc>
      </w:tr>
      <w:tr w:rsidR="29FED682" w:rsidRPr="009075E7" w14:paraId="201430DF"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04540FB0" w14:textId="5893FCFE" w:rsidR="29FED682" w:rsidRPr="009075E7" w:rsidRDefault="29FED682" w:rsidP="29FED682">
            <w:pPr>
              <w:jc w:val="both"/>
              <w:rPr>
                <w:rFonts w:ascii="Calibri" w:hAnsi="Calibri" w:cs="Calibri"/>
              </w:rPr>
            </w:pPr>
            <w:r w:rsidRPr="009075E7">
              <w:rPr>
                <w:rFonts w:ascii="Calibri" w:eastAsia="Source Sans Pro" w:hAnsi="Calibri" w:cs="Calibri"/>
                <w:color w:val="000000" w:themeColor="text1"/>
                <w:sz w:val="20"/>
                <w:szCs w:val="20"/>
              </w:rPr>
              <w:t>Magnésio metálico</w:t>
            </w:r>
          </w:p>
        </w:tc>
        <w:tc>
          <w:tcPr>
            <w:tcW w:w="1770" w:type="dxa"/>
            <w:tcBorders>
              <w:top w:val="single" w:sz="4" w:space="0" w:color="auto"/>
              <w:left w:val="single" w:sz="4" w:space="0" w:color="auto"/>
              <w:bottom w:val="single" w:sz="4" w:space="0" w:color="auto"/>
              <w:right w:val="single" w:sz="4" w:space="0" w:color="auto"/>
            </w:tcBorders>
            <w:vAlign w:val="center"/>
          </w:tcPr>
          <w:p w14:paraId="678E3BA9" w14:textId="7E22CA1A"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25/09/2020</w:t>
            </w:r>
          </w:p>
        </w:tc>
        <w:tc>
          <w:tcPr>
            <w:tcW w:w="2337" w:type="dxa"/>
            <w:tcBorders>
              <w:top w:val="single" w:sz="4" w:space="0" w:color="auto"/>
              <w:left w:val="single" w:sz="4" w:space="0" w:color="auto"/>
              <w:bottom w:val="single" w:sz="4" w:space="0" w:color="auto"/>
              <w:right w:val="single" w:sz="4" w:space="0" w:color="auto"/>
            </w:tcBorders>
            <w:vAlign w:val="center"/>
          </w:tcPr>
          <w:p w14:paraId="18614255" w14:textId="182CD58F"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20/08/2021</w:t>
            </w:r>
          </w:p>
        </w:tc>
      </w:tr>
      <w:tr w:rsidR="29FED682" w:rsidRPr="009075E7" w14:paraId="059A8AD8"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2AD8896B" w14:textId="3695D534" w:rsidR="29FED682" w:rsidRPr="009075E7" w:rsidRDefault="29FED682" w:rsidP="29FED682">
            <w:pPr>
              <w:jc w:val="both"/>
              <w:rPr>
                <w:rFonts w:ascii="Calibri" w:hAnsi="Calibri" w:cs="Calibri"/>
              </w:rPr>
            </w:pPr>
            <w:r w:rsidRPr="009075E7">
              <w:rPr>
                <w:rFonts w:ascii="Calibri" w:eastAsia="Source Sans Pro" w:hAnsi="Calibri" w:cs="Calibri"/>
                <w:color w:val="000000" w:themeColor="text1"/>
                <w:sz w:val="20"/>
                <w:szCs w:val="20"/>
              </w:rPr>
              <w:t xml:space="preserve">Acrilato de </w:t>
            </w:r>
            <w:proofErr w:type="spellStart"/>
            <w:r w:rsidRPr="009075E7">
              <w:rPr>
                <w:rFonts w:ascii="Calibri" w:eastAsia="Source Sans Pro" w:hAnsi="Calibri" w:cs="Calibri"/>
                <w:color w:val="000000" w:themeColor="text1"/>
                <w:sz w:val="20"/>
                <w:szCs w:val="20"/>
              </w:rPr>
              <w:t>butila</w:t>
            </w:r>
            <w:proofErr w:type="spellEnd"/>
          </w:p>
        </w:tc>
        <w:tc>
          <w:tcPr>
            <w:tcW w:w="1770" w:type="dxa"/>
            <w:tcBorders>
              <w:top w:val="single" w:sz="4" w:space="0" w:color="auto"/>
              <w:left w:val="single" w:sz="4" w:space="0" w:color="auto"/>
              <w:bottom w:val="single" w:sz="4" w:space="0" w:color="auto"/>
              <w:right w:val="single" w:sz="4" w:space="0" w:color="auto"/>
            </w:tcBorders>
            <w:vAlign w:val="center"/>
          </w:tcPr>
          <w:p w14:paraId="5204C5B5" w14:textId="7469D30D"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25/09/2020</w:t>
            </w:r>
          </w:p>
        </w:tc>
        <w:tc>
          <w:tcPr>
            <w:tcW w:w="2337" w:type="dxa"/>
            <w:tcBorders>
              <w:top w:val="single" w:sz="4" w:space="0" w:color="auto"/>
              <w:left w:val="single" w:sz="4" w:space="0" w:color="auto"/>
              <w:bottom w:val="single" w:sz="4" w:space="0" w:color="auto"/>
              <w:right w:val="single" w:sz="4" w:space="0" w:color="auto"/>
            </w:tcBorders>
            <w:vAlign w:val="center"/>
          </w:tcPr>
          <w:p w14:paraId="61D6DADA" w14:textId="76255901"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12/08/2021</w:t>
            </w:r>
          </w:p>
        </w:tc>
      </w:tr>
      <w:tr w:rsidR="29FED682" w:rsidRPr="009075E7" w14:paraId="778FFC78"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4D556758" w14:textId="387EE246" w:rsidR="29FED682" w:rsidRPr="009075E7" w:rsidRDefault="29FED682" w:rsidP="29FED682">
            <w:pPr>
              <w:jc w:val="both"/>
              <w:rPr>
                <w:rFonts w:ascii="Calibri" w:hAnsi="Calibri" w:cs="Calibri"/>
              </w:rPr>
            </w:pPr>
            <w:r w:rsidRPr="009075E7">
              <w:rPr>
                <w:rFonts w:ascii="Calibri" w:eastAsia="Source Sans Pro" w:hAnsi="Calibri" w:cs="Calibri"/>
                <w:color w:val="000000" w:themeColor="text1"/>
                <w:sz w:val="20"/>
                <w:szCs w:val="20"/>
              </w:rPr>
              <w:t>Filmes PET (subsídios)</w:t>
            </w:r>
          </w:p>
        </w:tc>
        <w:tc>
          <w:tcPr>
            <w:tcW w:w="1770" w:type="dxa"/>
            <w:tcBorders>
              <w:top w:val="single" w:sz="4" w:space="0" w:color="auto"/>
              <w:left w:val="single" w:sz="4" w:space="0" w:color="auto"/>
              <w:bottom w:val="single" w:sz="4" w:space="0" w:color="auto"/>
              <w:right w:val="single" w:sz="4" w:space="0" w:color="auto"/>
            </w:tcBorders>
            <w:vAlign w:val="center"/>
          </w:tcPr>
          <w:p w14:paraId="1E027B05" w14:textId="535CD0EE"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11/09/2020</w:t>
            </w:r>
          </w:p>
        </w:tc>
        <w:tc>
          <w:tcPr>
            <w:tcW w:w="2337" w:type="dxa"/>
            <w:tcBorders>
              <w:top w:val="single" w:sz="4" w:space="0" w:color="auto"/>
              <w:left w:val="single" w:sz="4" w:space="0" w:color="auto"/>
              <w:bottom w:val="single" w:sz="4" w:space="0" w:color="auto"/>
              <w:right w:val="single" w:sz="4" w:space="0" w:color="auto"/>
            </w:tcBorders>
            <w:vAlign w:val="center"/>
          </w:tcPr>
          <w:p w14:paraId="24E9FBCA" w14:textId="3A14E655"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06/08/2021</w:t>
            </w:r>
          </w:p>
        </w:tc>
      </w:tr>
      <w:tr w:rsidR="29FED682" w:rsidRPr="009075E7" w14:paraId="5E6A6059"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4ED65697" w14:textId="437DF1EA" w:rsidR="29FED682" w:rsidRPr="009075E7" w:rsidRDefault="29FED682" w:rsidP="29FED682">
            <w:pPr>
              <w:jc w:val="both"/>
              <w:rPr>
                <w:rFonts w:ascii="Calibri" w:hAnsi="Calibri" w:cs="Calibri"/>
              </w:rPr>
            </w:pPr>
            <w:r w:rsidRPr="009075E7">
              <w:rPr>
                <w:rFonts w:ascii="Calibri" w:eastAsia="Source Sans Pro" w:hAnsi="Calibri" w:cs="Calibri"/>
                <w:color w:val="000000" w:themeColor="text1"/>
                <w:sz w:val="20"/>
                <w:szCs w:val="20"/>
              </w:rPr>
              <w:t>Cilindros para GNV</w:t>
            </w:r>
          </w:p>
        </w:tc>
        <w:tc>
          <w:tcPr>
            <w:tcW w:w="1770" w:type="dxa"/>
            <w:tcBorders>
              <w:top w:val="single" w:sz="4" w:space="0" w:color="auto"/>
              <w:left w:val="single" w:sz="4" w:space="0" w:color="auto"/>
              <w:bottom w:val="single" w:sz="4" w:space="0" w:color="auto"/>
              <w:right w:val="single" w:sz="4" w:space="0" w:color="auto"/>
            </w:tcBorders>
            <w:vAlign w:val="center"/>
          </w:tcPr>
          <w:p w14:paraId="1E720C04" w14:textId="24D5ADFC"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31/01/2020</w:t>
            </w:r>
          </w:p>
        </w:tc>
        <w:tc>
          <w:tcPr>
            <w:tcW w:w="2337" w:type="dxa"/>
            <w:tcBorders>
              <w:top w:val="single" w:sz="4" w:space="0" w:color="auto"/>
              <w:left w:val="single" w:sz="4" w:space="0" w:color="auto"/>
              <w:bottom w:val="single" w:sz="4" w:space="0" w:color="auto"/>
              <w:right w:val="single" w:sz="4" w:space="0" w:color="auto"/>
            </w:tcBorders>
            <w:vAlign w:val="center"/>
          </w:tcPr>
          <w:p w14:paraId="486A7CC6" w14:textId="7DA2FB9A" w:rsidR="29FED682" w:rsidRPr="009075E7" w:rsidRDefault="29FED682" w:rsidP="29FED682">
            <w:pPr>
              <w:jc w:val="center"/>
              <w:rPr>
                <w:rFonts w:ascii="Calibri" w:hAnsi="Calibri" w:cs="Calibri"/>
              </w:rPr>
            </w:pPr>
            <w:r w:rsidRPr="009075E7">
              <w:rPr>
                <w:rFonts w:ascii="Calibri" w:eastAsia="Source Sans Pro" w:hAnsi="Calibri" w:cs="Calibri"/>
                <w:color w:val="000000" w:themeColor="text1"/>
                <w:sz w:val="20"/>
                <w:szCs w:val="20"/>
              </w:rPr>
              <w:t>28/06/2021</w:t>
            </w:r>
          </w:p>
        </w:tc>
      </w:tr>
      <w:tr w:rsidR="29FED682" w:rsidRPr="009075E7" w14:paraId="4612764F" w14:textId="77777777" w:rsidTr="29FED682">
        <w:trPr>
          <w:trHeight w:val="300"/>
          <w:jc w:val="center"/>
        </w:trPr>
        <w:tc>
          <w:tcPr>
            <w:tcW w:w="3105" w:type="dxa"/>
            <w:tcBorders>
              <w:top w:val="single" w:sz="4" w:space="0" w:color="auto"/>
              <w:left w:val="single" w:sz="4" w:space="0" w:color="auto"/>
              <w:bottom w:val="single" w:sz="4" w:space="0" w:color="auto"/>
              <w:right w:val="single" w:sz="4" w:space="0" w:color="auto"/>
            </w:tcBorders>
            <w:vAlign w:val="center"/>
          </w:tcPr>
          <w:p w14:paraId="6714B633" w14:textId="6BC680DF" w:rsidR="6FC21C92" w:rsidRPr="009075E7" w:rsidRDefault="6FC21C92" w:rsidP="29FED682">
            <w:pPr>
              <w:jc w:val="both"/>
              <w:rPr>
                <w:rFonts w:ascii="Calibri" w:eastAsia="Source Sans Pro" w:hAnsi="Calibri" w:cs="Calibri"/>
                <w:color w:val="000000" w:themeColor="text1"/>
                <w:sz w:val="20"/>
                <w:szCs w:val="20"/>
              </w:rPr>
            </w:pPr>
            <w:r w:rsidRPr="009075E7">
              <w:rPr>
                <w:rFonts w:ascii="Calibri" w:eastAsia="Source Sans Pro" w:hAnsi="Calibri" w:cs="Calibri"/>
                <w:color w:val="000000" w:themeColor="text1"/>
                <w:sz w:val="20"/>
                <w:szCs w:val="20"/>
              </w:rPr>
              <w:t>Meias</w:t>
            </w:r>
          </w:p>
        </w:tc>
        <w:tc>
          <w:tcPr>
            <w:tcW w:w="1770" w:type="dxa"/>
            <w:tcBorders>
              <w:top w:val="single" w:sz="4" w:space="0" w:color="auto"/>
              <w:left w:val="single" w:sz="4" w:space="0" w:color="auto"/>
              <w:bottom w:val="single" w:sz="4" w:space="0" w:color="auto"/>
              <w:right w:val="single" w:sz="4" w:space="0" w:color="auto"/>
            </w:tcBorders>
            <w:vAlign w:val="center"/>
          </w:tcPr>
          <w:p w14:paraId="381DD643" w14:textId="393B9BB6" w:rsidR="6FC21C92" w:rsidRPr="009075E7" w:rsidRDefault="6FC21C92" w:rsidP="29FED682">
            <w:pPr>
              <w:jc w:val="center"/>
              <w:rPr>
                <w:rFonts w:ascii="Calibri" w:eastAsia="Source Sans Pro" w:hAnsi="Calibri" w:cs="Calibri"/>
                <w:color w:val="000000" w:themeColor="text1"/>
                <w:sz w:val="20"/>
                <w:szCs w:val="20"/>
              </w:rPr>
            </w:pPr>
            <w:r w:rsidRPr="009075E7">
              <w:rPr>
                <w:rFonts w:ascii="Calibri" w:eastAsia="Source Sans Pro" w:hAnsi="Calibri" w:cs="Calibri"/>
                <w:color w:val="000000" w:themeColor="text1"/>
                <w:sz w:val="20"/>
                <w:szCs w:val="20"/>
              </w:rPr>
              <w:t>17/08/2020</w:t>
            </w:r>
          </w:p>
        </w:tc>
        <w:tc>
          <w:tcPr>
            <w:tcW w:w="2337" w:type="dxa"/>
            <w:tcBorders>
              <w:top w:val="single" w:sz="4" w:space="0" w:color="auto"/>
              <w:left w:val="single" w:sz="4" w:space="0" w:color="auto"/>
              <w:bottom w:val="single" w:sz="4" w:space="0" w:color="auto"/>
              <w:right w:val="single" w:sz="4" w:space="0" w:color="auto"/>
            </w:tcBorders>
            <w:vAlign w:val="center"/>
          </w:tcPr>
          <w:p w14:paraId="5D22E3E7" w14:textId="306E1312" w:rsidR="6FC21C92" w:rsidRPr="009075E7" w:rsidRDefault="6FC21C92" w:rsidP="29FED682">
            <w:pPr>
              <w:jc w:val="center"/>
              <w:rPr>
                <w:rFonts w:ascii="Calibri" w:eastAsia="Source Sans Pro" w:hAnsi="Calibri" w:cs="Calibri"/>
                <w:color w:val="000000" w:themeColor="text1"/>
                <w:sz w:val="20"/>
                <w:szCs w:val="20"/>
              </w:rPr>
            </w:pPr>
            <w:r w:rsidRPr="009075E7">
              <w:rPr>
                <w:rFonts w:ascii="Calibri" w:eastAsia="Source Sans Pro" w:hAnsi="Calibri" w:cs="Calibri"/>
                <w:color w:val="000000" w:themeColor="text1"/>
                <w:sz w:val="20"/>
                <w:szCs w:val="20"/>
              </w:rPr>
              <w:t>-</w:t>
            </w:r>
          </w:p>
        </w:tc>
      </w:tr>
    </w:tbl>
    <w:p w14:paraId="0969E8B8" w14:textId="3DDF448A" w:rsidR="001F0C1B" w:rsidRPr="009075E7" w:rsidRDefault="001F0C1B" w:rsidP="009075E7">
      <w:pPr>
        <w:rPr>
          <w:rFonts w:ascii="Calibri" w:hAnsi="Calibri" w:cs="Calibri"/>
          <w:sz w:val="18"/>
          <w:szCs w:val="18"/>
        </w:rPr>
      </w:pPr>
    </w:p>
    <w:sectPr w:rsidR="001F0C1B" w:rsidRPr="009075E7">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7C207" w14:textId="77777777" w:rsidR="00C74E30" w:rsidRDefault="00C74E30" w:rsidP="00C74E30">
      <w:pPr>
        <w:spacing w:after="0" w:line="240" w:lineRule="auto"/>
      </w:pPr>
      <w:r>
        <w:separator/>
      </w:r>
    </w:p>
  </w:endnote>
  <w:endnote w:type="continuationSeparator" w:id="0">
    <w:p w14:paraId="47D52EB2" w14:textId="77777777" w:rsidR="00C74E30" w:rsidRDefault="00C74E30" w:rsidP="00C74E30">
      <w:pPr>
        <w:spacing w:after="0" w:line="240" w:lineRule="auto"/>
      </w:pPr>
      <w:r>
        <w:continuationSeparator/>
      </w:r>
    </w:p>
  </w:endnote>
  <w:endnote w:type="continuationNotice" w:id="1">
    <w:p w14:paraId="0BAAC160" w14:textId="77777777" w:rsidR="00D04EA2" w:rsidRDefault="00D04E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D0CC" w14:textId="77777777" w:rsidR="00D04EA2" w:rsidRDefault="00D04EA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C82C5" w14:textId="77777777" w:rsidR="00C74E30" w:rsidRDefault="00C74E30" w:rsidP="00C74E30">
      <w:pPr>
        <w:spacing w:after="0" w:line="240" w:lineRule="auto"/>
      </w:pPr>
      <w:r>
        <w:separator/>
      </w:r>
    </w:p>
  </w:footnote>
  <w:footnote w:type="continuationSeparator" w:id="0">
    <w:p w14:paraId="1AAB7302" w14:textId="77777777" w:rsidR="00C74E30" w:rsidRDefault="00C74E30" w:rsidP="00C74E30">
      <w:pPr>
        <w:spacing w:after="0" w:line="240" w:lineRule="auto"/>
      </w:pPr>
      <w:r>
        <w:continuationSeparator/>
      </w:r>
    </w:p>
  </w:footnote>
  <w:footnote w:type="continuationNotice" w:id="1">
    <w:p w14:paraId="2D9D2CFF" w14:textId="77777777" w:rsidR="00D04EA2" w:rsidRDefault="00D04E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8AAFF" w14:textId="77777777" w:rsidR="00D04EA2" w:rsidRDefault="00D04EA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72FFE"/>
    <w:multiLevelType w:val="hybridMultilevel"/>
    <w:tmpl w:val="FFFFFFFF"/>
    <w:lvl w:ilvl="0" w:tplc="AE2C5AB2">
      <w:start w:val="1"/>
      <w:numFmt w:val="bullet"/>
      <w:lvlText w:val=""/>
      <w:lvlJc w:val="left"/>
      <w:pPr>
        <w:ind w:left="720" w:hanging="360"/>
      </w:pPr>
      <w:rPr>
        <w:rFonts w:ascii="Symbol" w:hAnsi="Symbol" w:hint="default"/>
      </w:rPr>
    </w:lvl>
    <w:lvl w:ilvl="1" w:tplc="E7A08D82">
      <w:start w:val="1"/>
      <w:numFmt w:val="bullet"/>
      <w:lvlText w:val="o"/>
      <w:lvlJc w:val="left"/>
      <w:pPr>
        <w:ind w:left="1440" w:hanging="360"/>
      </w:pPr>
      <w:rPr>
        <w:rFonts w:ascii="Courier New" w:hAnsi="Courier New" w:hint="default"/>
      </w:rPr>
    </w:lvl>
    <w:lvl w:ilvl="2" w:tplc="54A01322">
      <w:start w:val="1"/>
      <w:numFmt w:val="bullet"/>
      <w:lvlText w:val=""/>
      <w:lvlJc w:val="left"/>
      <w:pPr>
        <w:ind w:left="2160" w:hanging="360"/>
      </w:pPr>
      <w:rPr>
        <w:rFonts w:ascii="Wingdings" w:hAnsi="Wingdings" w:hint="default"/>
      </w:rPr>
    </w:lvl>
    <w:lvl w:ilvl="3" w:tplc="6260731E">
      <w:start w:val="1"/>
      <w:numFmt w:val="bullet"/>
      <w:lvlText w:val=""/>
      <w:lvlJc w:val="left"/>
      <w:pPr>
        <w:ind w:left="2880" w:hanging="360"/>
      </w:pPr>
      <w:rPr>
        <w:rFonts w:ascii="Symbol" w:hAnsi="Symbol" w:hint="default"/>
      </w:rPr>
    </w:lvl>
    <w:lvl w:ilvl="4" w:tplc="EAFE9A6A">
      <w:start w:val="1"/>
      <w:numFmt w:val="bullet"/>
      <w:lvlText w:val="o"/>
      <w:lvlJc w:val="left"/>
      <w:pPr>
        <w:ind w:left="3600" w:hanging="360"/>
      </w:pPr>
      <w:rPr>
        <w:rFonts w:ascii="Courier New" w:hAnsi="Courier New" w:hint="default"/>
      </w:rPr>
    </w:lvl>
    <w:lvl w:ilvl="5" w:tplc="5B4C0856">
      <w:start w:val="1"/>
      <w:numFmt w:val="bullet"/>
      <w:lvlText w:val=""/>
      <w:lvlJc w:val="left"/>
      <w:pPr>
        <w:ind w:left="4320" w:hanging="360"/>
      </w:pPr>
      <w:rPr>
        <w:rFonts w:ascii="Wingdings" w:hAnsi="Wingdings" w:hint="default"/>
      </w:rPr>
    </w:lvl>
    <w:lvl w:ilvl="6" w:tplc="1EA8677E">
      <w:start w:val="1"/>
      <w:numFmt w:val="bullet"/>
      <w:lvlText w:val=""/>
      <w:lvlJc w:val="left"/>
      <w:pPr>
        <w:ind w:left="5040" w:hanging="360"/>
      </w:pPr>
      <w:rPr>
        <w:rFonts w:ascii="Symbol" w:hAnsi="Symbol" w:hint="default"/>
      </w:rPr>
    </w:lvl>
    <w:lvl w:ilvl="7" w:tplc="BC0E0D02">
      <w:start w:val="1"/>
      <w:numFmt w:val="bullet"/>
      <w:lvlText w:val="o"/>
      <w:lvlJc w:val="left"/>
      <w:pPr>
        <w:ind w:left="5760" w:hanging="360"/>
      </w:pPr>
      <w:rPr>
        <w:rFonts w:ascii="Courier New" w:hAnsi="Courier New" w:hint="default"/>
      </w:rPr>
    </w:lvl>
    <w:lvl w:ilvl="8" w:tplc="87FA0490">
      <w:start w:val="1"/>
      <w:numFmt w:val="bullet"/>
      <w:lvlText w:val=""/>
      <w:lvlJc w:val="left"/>
      <w:pPr>
        <w:ind w:left="6480" w:hanging="360"/>
      </w:pPr>
      <w:rPr>
        <w:rFonts w:ascii="Wingdings" w:hAnsi="Wingdings" w:hint="default"/>
      </w:rPr>
    </w:lvl>
  </w:abstractNum>
  <w:abstractNum w:abstractNumId="1" w15:restartNumberingAfterBreak="0">
    <w:nsid w:val="11064B16"/>
    <w:multiLevelType w:val="hybridMultilevel"/>
    <w:tmpl w:val="FFFFFFFF"/>
    <w:lvl w:ilvl="0" w:tplc="838043A0">
      <w:start w:val="1"/>
      <w:numFmt w:val="bullet"/>
      <w:lvlText w:val=""/>
      <w:lvlJc w:val="left"/>
      <w:pPr>
        <w:ind w:left="720" w:hanging="360"/>
      </w:pPr>
      <w:rPr>
        <w:rFonts w:ascii="Symbol" w:hAnsi="Symbol" w:hint="default"/>
      </w:rPr>
    </w:lvl>
    <w:lvl w:ilvl="1" w:tplc="B7C69BEE">
      <w:start w:val="1"/>
      <w:numFmt w:val="bullet"/>
      <w:lvlText w:val="o"/>
      <w:lvlJc w:val="left"/>
      <w:pPr>
        <w:ind w:left="1440" w:hanging="360"/>
      </w:pPr>
      <w:rPr>
        <w:rFonts w:ascii="Courier New" w:hAnsi="Courier New" w:hint="default"/>
      </w:rPr>
    </w:lvl>
    <w:lvl w:ilvl="2" w:tplc="682CFDBA">
      <w:start w:val="1"/>
      <w:numFmt w:val="bullet"/>
      <w:lvlText w:val=""/>
      <w:lvlJc w:val="left"/>
      <w:pPr>
        <w:ind w:left="2160" w:hanging="360"/>
      </w:pPr>
      <w:rPr>
        <w:rFonts w:ascii="Wingdings" w:hAnsi="Wingdings" w:hint="default"/>
      </w:rPr>
    </w:lvl>
    <w:lvl w:ilvl="3" w:tplc="65CCC516">
      <w:start w:val="1"/>
      <w:numFmt w:val="bullet"/>
      <w:lvlText w:val=""/>
      <w:lvlJc w:val="left"/>
      <w:pPr>
        <w:ind w:left="2880" w:hanging="360"/>
      </w:pPr>
      <w:rPr>
        <w:rFonts w:ascii="Symbol" w:hAnsi="Symbol" w:hint="default"/>
      </w:rPr>
    </w:lvl>
    <w:lvl w:ilvl="4" w:tplc="6AC22C54">
      <w:start w:val="1"/>
      <w:numFmt w:val="bullet"/>
      <w:lvlText w:val="o"/>
      <w:lvlJc w:val="left"/>
      <w:pPr>
        <w:ind w:left="3600" w:hanging="360"/>
      </w:pPr>
      <w:rPr>
        <w:rFonts w:ascii="Courier New" w:hAnsi="Courier New" w:hint="default"/>
      </w:rPr>
    </w:lvl>
    <w:lvl w:ilvl="5" w:tplc="207EC9B8">
      <w:start w:val="1"/>
      <w:numFmt w:val="bullet"/>
      <w:lvlText w:val=""/>
      <w:lvlJc w:val="left"/>
      <w:pPr>
        <w:ind w:left="4320" w:hanging="360"/>
      </w:pPr>
      <w:rPr>
        <w:rFonts w:ascii="Wingdings" w:hAnsi="Wingdings" w:hint="default"/>
      </w:rPr>
    </w:lvl>
    <w:lvl w:ilvl="6" w:tplc="21A63E1A">
      <w:start w:val="1"/>
      <w:numFmt w:val="bullet"/>
      <w:lvlText w:val=""/>
      <w:lvlJc w:val="left"/>
      <w:pPr>
        <w:ind w:left="5040" w:hanging="360"/>
      </w:pPr>
      <w:rPr>
        <w:rFonts w:ascii="Symbol" w:hAnsi="Symbol" w:hint="default"/>
      </w:rPr>
    </w:lvl>
    <w:lvl w:ilvl="7" w:tplc="EB769B16">
      <w:start w:val="1"/>
      <w:numFmt w:val="bullet"/>
      <w:lvlText w:val="o"/>
      <w:lvlJc w:val="left"/>
      <w:pPr>
        <w:ind w:left="5760" w:hanging="360"/>
      </w:pPr>
      <w:rPr>
        <w:rFonts w:ascii="Courier New" w:hAnsi="Courier New" w:hint="default"/>
      </w:rPr>
    </w:lvl>
    <w:lvl w:ilvl="8" w:tplc="3B721280">
      <w:start w:val="1"/>
      <w:numFmt w:val="bullet"/>
      <w:lvlText w:val=""/>
      <w:lvlJc w:val="left"/>
      <w:pPr>
        <w:ind w:left="6480" w:hanging="360"/>
      </w:pPr>
      <w:rPr>
        <w:rFonts w:ascii="Wingdings" w:hAnsi="Wingdings" w:hint="default"/>
      </w:rPr>
    </w:lvl>
  </w:abstractNum>
  <w:abstractNum w:abstractNumId="2" w15:restartNumberingAfterBreak="0">
    <w:nsid w:val="14B65056"/>
    <w:multiLevelType w:val="hybridMultilevel"/>
    <w:tmpl w:val="FFFFFFFF"/>
    <w:lvl w:ilvl="0" w:tplc="6040D30C">
      <w:start w:val="1"/>
      <w:numFmt w:val="bullet"/>
      <w:lvlText w:val=""/>
      <w:lvlJc w:val="left"/>
      <w:pPr>
        <w:ind w:left="720" w:hanging="360"/>
      </w:pPr>
      <w:rPr>
        <w:rFonts w:ascii="Symbol" w:hAnsi="Symbol" w:hint="default"/>
      </w:rPr>
    </w:lvl>
    <w:lvl w:ilvl="1" w:tplc="165ACC7A">
      <w:start w:val="1"/>
      <w:numFmt w:val="bullet"/>
      <w:lvlText w:val="o"/>
      <w:lvlJc w:val="left"/>
      <w:pPr>
        <w:ind w:left="1440" w:hanging="360"/>
      </w:pPr>
      <w:rPr>
        <w:rFonts w:ascii="Courier New" w:hAnsi="Courier New" w:hint="default"/>
      </w:rPr>
    </w:lvl>
    <w:lvl w:ilvl="2" w:tplc="FF7CBBDA">
      <w:start w:val="1"/>
      <w:numFmt w:val="bullet"/>
      <w:lvlText w:val=""/>
      <w:lvlJc w:val="left"/>
      <w:pPr>
        <w:ind w:left="2160" w:hanging="360"/>
      </w:pPr>
      <w:rPr>
        <w:rFonts w:ascii="Wingdings" w:hAnsi="Wingdings" w:hint="default"/>
      </w:rPr>
    </w:lvl>
    <w:lvl w:ilvl="3" w:tplc="3AE279EA">
      <w:start w:val="1"/>
      <w:numFmt w:val="bullet"/>
      <w:lvlText w:val=""/>
      <w:lvlJc w:val="left"/>
      <w:pPr>
        <w:ind w:left="2880" w:hanging="360"/>
      </w:pPr>
      <w:rPr>
        <w:rFonts w:ascii="Symbol" w:hAnsi="Symbol" w:hint="default"/>
      </w:rPr>
    </w:lvl>
    <w:lvl w:ilvl="4" w:tplc="AD4E17C8">
      <w:start w:val="1"/>
      <w:numFmt w:val="bullet"/>
      <w:lvlText w:val="o"/>
      <w:lvlJc w:val="left"/>
      <w:pPr>
        <w:ind w:left="3600" w:hanging="360"/>
      </w:pPr>
      <w:rPr>
        <w:rFonts w:ascii="Courier New" w:hAnsi="Courier New" w:hint="default"/>
      </w:rPr>
    </w:lvl>
    <w:lvl w:ilvl="5" w:tplc="D10C556C">
      <w:start w:val="1"/>
      <w:numFmt w:val="bullet"/>
      <w:lvlText w:val=""/>
      <w:lvlJc w:val="left"/>
      <w:pPr>
        <w:ind w:left="4320" w:hanging="360"/>
      </w:pPr>
      <w:rPr>
        <w:rFonts w:ascii="Wingdings" w:hAnsi="Wingdings" w:hint="default"/>
      </w:rPr>
    </w:lvl>
    <w:lvl w:ilvl="6" w:tplc="754691E4">
      <w:start w:val="1"/>
      <w:numFmt w:val="bullet"/>
      <w:lvlText w:val=""/>
      <w:lvlJc w:val="left"/>
      <w:pPr>
        <w:ind w:left="5040" w:hanging="360"/>
      </w:pPr>
      <w:rPr>
        <w:rFonts w:ascii="Symbol" w:hAnsi="Symbol" w:hint="default"/>
      </w:rPr>
    </w:lvl>
    <w:lvl w:ilvl="7" w:tplc="7FAEA886">
      <w:start w:val="1"/>
      <w:numFmt w:val="bullet"/>
      <w:lvlText w:val="o"/>
      <w:lvlJc w:val="left"/>
      <w:pPr>
        <w:ind w:left="5760" w:hanging="360"/>
      </w:pPr>
      <w:rPr>
        <w:rFonts w:ascii="Courier New" w:hAnsi="Courier New" w:hint="default"/>
      </w:rPr>
    </w:lvl>
    <w:lvl w:ilvl="8" w:tplc="B3F09880">
      <w:start w:val="1"/>
      <w:numFmt w:val="bullet"/>
      <w:lvlText w:val=""/>
      <w:lvlJc w:val="left"/>
      <w:pPr>
        <w:ind w:left="6480" w:hanging="360"/>
      </w:pPr>
      <w:rPr>
        <w:rFonts w:ascii="Wingdings" w:hAnsi="Wingdings" w:hint="default"/>
      </w:rPr>
    </w:lvl>
  </w:abstractNum>
  <w:abstractNum w:abstractNumId="3" w15:restartNumberingAfterBreak="0">
    <w:nsid w:val="1E35073B"/>
    <w:multiLevelType w:val="hybridMultilevel"/>
    <w:tmpl w:val="FFFFFFFF"/>
    <w:lvl w:ilvl="0" w:tplc="0960F1AC">
      <w:start w:val="1"/>
      <w:numFmt w:val="bullet"/>
      <w:lvlText w:val=""/>
      <w:lvlJc w:val="left"/>
      <w:pPr>
        <w:ind w:left="720" w:hanging="360"/>
      </w:pPr>
      <w:rPr>
        <w:rFonts w:ascii="Symbol" w:hAnsi="Symbol" w:hint="default"/>
      </w:rPr>
    </w:lvl>
    <w:lvl w:ilvl="1" w:tplc="0ACED18A">
      <w:start w:val="1"/>
      <w:numFmt w:val="bullet"/>
      <w:lvlText w:val="o"/>
      <w:lvlJc w:val="left"/>
      <w:pPr>
        <w:ind w:left="1440" w:hanging="360"/>
      </w:pPr>
      <w:rPr>
        <w:rFonts w:ascii="Courier New" w:hAnsi="Courier New" w:hint="default"/>
      </w:rPr>
    </w:lvl>
    <w:lvl w:ilvl="2" w:tplc="21F4D972">
      <w:start w:val="1"/>
      <w:numFmt w:val="bullet"/>
      <w:lvlText w:val=""/>
      <w:lvlJc w:val="left"/>
      <w:pPr>
        <w:ind w:left="2160" w:hanging="360"/>
      </w:pPr>
      <w:rPr>
        <w:rFonts w:ascii="Wingdings" w:hAnsi="Wingdings" w:hint="default"/>
      </w:rPr>
    </w:lvl>
    <w:lvl w:ilvl="3" w:tplc="81A29C2A">
      <w:start w:val="1"/>
      <w:numFmt w:val="bullet"/>
      <w:lvlText w:val=""/>
      <w:lvlJc w:val="left"/>
      <w:pPr>
        <w:ind w:left="2880" w:hanging="360"/>
      </w:pPr>
      <w:rPr>
        <w:rFonts w:ascii="Symbol" w:hAnsi="Symbol" w:hint="default"/>
      </w:rPr>
    </w:lvl>
    <w:lvl w:ilvl="4" w:tplc="85A0BFE4">
      <w:start w:val="1"/>
      <w:numFmt w:val="bullet"/>
      <w:lvlText w:val="o"/>
      <w:lvlJc w:val="left"/>
      <w:pPr>
        <w:ind w:left="3600" w:hanging="360"/>
      </w:pPr>
      <w:rPr>
        <w:rFonts w:ascii="Courier New" w:hAnsi="Courier New" w:hint="default"/>
      </w:rPr>
    </w:lvl>
    <w:lvl w:ilvl="5" w:tplc="398AC042">
      <w:start w:val="1"/>
      <w:numFmt w:val="bullet"/>
      <w:lvlText w:val=""/>
      <w:lvlJc w:val="left"/>
      <w:pPr>
        <w:ind w:left="4320" w:hanging="360"/>
      </w:pPr>
      <w:rPr>
        <w:rFonts w:ascii="Wingdings" w:hAnsi="Wingdings" w:hint="default"/>
      </w:rPr>
    </w:lvl>
    <w:lvl w:ilvl="6" w:tplc="24FC6096">
      <w:start w:val="1"/>
      <w:numFmt w:val="bullet"/>
      <w:lvlText w:val=""/>
      <w:lvlJc w:val="left"/>
      <w:pPr>
        <w:ind w:left="5040" w:hanging="360"/>
      </w:pPr>
      <w:rPr>
        <w:rFonts w:ascii="Symbol" w:hAnsi="Symbol" w:hint="default"/>
      </w:rPr>
    </w:lvl>
    <w:lvl w:ilvl="7" w:tplc="DF88E124">
      <w:start w:val="1"/>
      <w:numFmt w:val="bullet"/>
      <w:lvlText w:val="o"/>
      <w:lvlJc w:val="left"/>
      <w:pPr>
        <w:ind w:left="5760" w:hanging="360"/>
      </w:pPr>
      <w:rPr>
        <w:rFonts w:ascii="Courier New" w:hAnsi="Courier New" w:hint="default"/>
      </w:rPr>
    </w:lvl>
    <w:lvl w:ilvl="8" w:tplc="C6D0BB1E">
      <w:start w:val="1"/>
      <w:numFmt w:val="bullet"/>
      <w:lvlText w:val=""/>
      <w:lvlJc w:val="left"/>
      <w:pPr>
        <w:ind w:left="6480" w:hanging="360"/>
      </w:pPr>
      <w:rPr>
        <w:rFonts w:ascii="Wingdings" w:hAnsi="Wingdings" w:hint="default"/>
      </w:rPr>
    </w:lvl>
  </w:abstractNum>
  <w:abstractNum w:abstractNumId="4" w15:restartNumberingAfterBreak="0">
    <w:nsid w:val="38402DF3"/>
    <w:multiLevelType w:val="hybridMultilevel"/>
    <w:tmpl w:val="FFFFFFFF"/>
    <w:lvl w:ilvl="0" w:tplc="E63C215A">
      <w:start w:val="1"/>
      <w:numFmt w:val="bullet"/>
      <w:lvlText w:val=""/>
      <w:lvlJc w:val="left"/>
      <w:pPr>
        <w:ind w:left="720" w:hanging="360"/>
      </w:pPr>
      <w:rPr>
        <w:rFonts w:ascii="Symbol" w:hAnsi="Symbol" w:hint="default"/>
      </w:rPr>
    </w:lvl>
    <w:lvl w:ilvl="1" w:tplc="CA2474D4">
      <w:start w:val="1"/>
      <w:numFmt w:val="bullet"/>
      <w:lvlText w:val="o"/>
      <w:lvlJc w:val="left"/>
      <w:pPr>
        <w:ind w:left="1440" w:hanging="360"/>
      </w:pPr>
      <w:rPr>
        <w:rFonts w:ascii="Courier New" w:hAnsi="Courier New" w:hint="default"/>
      </w:rPr>
    </w:lvl>
    <w:lvl w:ilvl="2" w:tplc="74A8CFA6">
      <w:start w:val="1"/>
      <w:numFmt w:val="bullet"/>
      <w:lvlText w:val=""/>
      <w:lvlJc w:val="left"/>
      <w:pPr>
        <w:ind w:left="2160" w:hanging="360"/>
      </w:pPr>
      <w:rPr>
        <w:rFonts w:ascii="Wingdings" w:hAnsi="Wingdings" w:hint="default"/>
      </w:rPr>
    </w:lvl>
    <w:lvl w:ilvl="3" w:tplc="9AA2A658">
      <w:start w:val="1"/>
      <w:numFmt w:val="bullet"/>
      <w:lvlText w:val=""/>
      <w:lvlJc w:val="left"/>
      <w:pPr>
        <w:ind w:left="2880" w:hanging="360"/>
      </w:pPr>
      <w:rPr>
        <w:rFonts w:ascii="Symbol" w:hAnsi="Symbol" w:hint="default"/>
      </w:rPr>
    </w:lvl>
    <w:lvl w:ilvl="4" w:tplc="FC72284A">
      <w:start w:val="1"/>
      <w:numFmt w:val="bullet"/>
      <w:lvlText w:val="o"/>
      <w:lvlJc w:val="left"/>
      <w:pPr>
        <w:ind w:left="3600" w:hanging="360"/>
      </w:pPr>
      <w:rPr>
        <w:rFonts w:ascii="Courier New" w:hAnsi="Courier New" w:hint="default"/>
      </w:rPr>
    </w:lvl>
    <w:lvl w:ilvl="5" w:tplc="08C83DB4">
      <w:start w:val="1"/>
      <w:numFmt w:val="bullet"/>
      <w:lvlText w:val=""/>
      <w:lvlJc w:val="left"/>
      <w:pPr>
        <w:ind w:left="4320" w:hanging="360"/>
      </w:pPr>
      <w:rPr>
        <w:rFonts w:ascii="Wingdings" w:hAnsi="Wingdings" w:hint="default"/>
      </w:rPr>
    </w:lvl>
    <w:lvl w:ilvl="6" w:tplc="763E8398">
      <w:start w:val="1"/>
      <w:numFmt w:val="bullet"/>
      <w:lvlText w:val=""/>
      <w:lvlJc w:val="left"/>
      <w:pPr>
        <w:ind w:left="5040" w:hanging="360"/>
      </w:pPr>
      <w:rPr>
        <w:rFonts w:ascii="Symbol" w:hAnsi="Symbol" w:hint="default"/>
      </w:rPr>
    </w:lvl>
    <w:lvl w:ilvl="7" w:tplc="DC82E684">
      <w:start w:val="1"/>
      <w:numFmt w:val="bullet"/>
      <w:lvlText w:val="o"/>
      <w:lvlJc w:val="left"/>
      <w:pPr>
        <w:ind w:left="5760" w:hanging="360"/>
      </w:pPr>
      <w:rPr>
        <w:rFonts w:ascii="Courier New" w:hAnsi="Courier New" w:hint="default"/>
      </w:rPr>
    </w:lvl>
    <w:lvl w:ilvl="8" w:tplc="ED741E6E">
      <w:start w:val="1"/>
      <w:numFmt w:val="bullet"/>
      <w:lvlText w:val=""/>
      <w:lvlJc w:val="left"/>
      <w:pPr>
        <w:ind w:left="6480" w:hanging="360"/>
      </w:pPr>
      <w:rPr>
        <w:rFonts w:ascii="Wingdings" w:hAnsi="Wingdings" w:hint="default"/>
      </w:rPr>
    </w:lvl>
  </w:abstractNum>
  <w:abstractNum w:abstractNumId="5" w15:restartNumberingAfterBreak="0">
    <w:nsid w:val="4049715F"/>
    <w:multiLevelType w:val="hybridMultilevel"/>
    <w:tmpl w:val="FFFFFFFF"/>
    <w:lvl w:ilvl="0" w:tplc="23F023D2">
      <w:start w:val="1"/>
      <w:numFmt w:val="bullet"/>
      <w:lvlText w:val=""/>
      <w:lvlJc w:val="left"/>
      <w:pPr>
        <w:ind w:left="720" w:hanging="360"/>
      </w:pPr>
      <w:rPr>
        <w:rFonts w:ascii="Symbol" w:hAnsi="Symbol" w:hint="default"/>
      </w:rPr>
    </w:lvl>
    <w:lvl w:ilvl="1" w:tplc="9294D1C6">
      <w:start w:val="1"/>
      <w:numFmt w:val="bullet"/>
      <w:lvlText w:val="o"/>
      <w:lvlJc w:val="left"/>
      <w:pPr>
        <w:ind w:left="1440" w:hanging="360"/>
      </w:pPr>
      <w:rPr>
        <w:rFonts w:ascii="Courier New" w:hAnsi="Courier New" w:hint="default"/>
      </w:rPr>
    </w:lvl>
    <w:lvl w:ilvl="2" w:tplc="3554368C">
      <w:start w:val="1"/>
      <w:numFmt w:val="bullet"/>
      <w:lvlText w:val=""/>
      <w:lvlJc w:val="left"/>
      <w:pPr>
        <w:ind w:left="2160" w:hanging="360"/>
      </w:pPr>
      <w:rPr>
        <w:rFonts w:ascii="Wingdings" w:hAnsi="Wingdings" w:hint="default"/>
      </w:rPr>
    </w:lvl>
    <w:lvl w:ilvl="3" w:tplc="EC727786">
      <w:start w:val="1"/>
      <w:numFmt w:val="bullet"/>
      <w:lvlText w:val=""/>
      <w:lvlJc w:val="left"/>
      <w:pPr>
        <w:ind w:left="2880" w:hanging="360"/>
      </w:pPr>
      <w:rPr>
        <w:rFonts w:ascii="Symbol" w:hAnsi="Symbol" w:hint="default"/>
      </w:rPr>
    </w:lvl>
    <w:lvl w:ilvl="4" w:tplc="C40EEC14">
      <w:start w:val="1"/>
      <w:numFmt w:val="bullet"/>
      <w:lvlText w:val="o"/>
      <w:lvlJc w:val="left"/>
      <w:pPr>
        <w:ind w:left="3600" w:hanging="360"/>
      </w:pPr>
      <w:rPr>
        <w:rFonts w:ascii="Courier New" w:hAnsi="Courier New" w:hint="default"/>
      </w:rPr>
    </w:lvl>
    <w:lvl w:ilvl="5" w:tplc="6BB2E9E0">
      <w:start w:val="1"/>
      <w:numFmt w:val="bullet"/>
      <w:lvlText w:val=""/>
      <w:lvlJc w:val="left"/>
      <w:pPr>
        <w:ind w:left="4320" w:hanging="360"/>
      </w:pPr>
      <w:rPr>
        <w:rFonts w:ascii="Wingdings" w:hAnsi="Wingdings" w:hint="default"/>
      </w:rPr>
    </w:lvl>
    <w:lvl w:ilvl="6" w:tplc="BF081866">
      <w:start w:val="1"/>
      <w:numFmt w:val="bullet"/>
      <w:lvlText w:val=""/>
      <w:lvlJc w:val="left"/>
      <w:pPr>
        <w:ind w:left="5040" w:hanging="360"/>
      </w:pPr>
      <w:rPr>
        <w:rFonts w:ascii="Symbol" w:hAnsi="Symbol" w:hint="default"/>
      </w:rPr>
    </w:lvl>
    <w:lvl w:ilvl="7" w:tplc="57F268DC">
      <w:start w:val="1"/>
      <w:numFmt w:val="bullet"/>
      <w:lvlText w:val="o"/>
      <w:lvlJc w:val="left"/>
      <w:pPr>
        <w:ind w:left="5760" w:hanging="360"/>
      </w:pPr>
      <w:rPr>
        <w:rFonts w:ascii="Courier New" w:hAnsi="Courier New" w:hint="default"/>
      </w:rPr>
    </w:lvl>
    <w:lvl w:ilvl="8" w:tplc="5D8ADF48">
      <w:start w:val="1"/>
      <w:numFmt w:val="bullet"/>
      <w:lvlText w:val=""/>
      <w:lvlJc w:val="left"/>
      <w:pPr>
        <w:ind w:left="6480" w:hanging="360"/>
      </w:pPr>
      <w:rPr>
        <w:rFonts w:ascii="Wingdings" w:hAnsi="Wingdings" w:hint="default"/>
      </w:rPr>
    </w:lvl>
  </w:abstractNum>
  <w:abstractNum w:abstractNumId="6" w15:restartNumberingAfterBreak="0">
    <w:nsid w:val="573F59B1"/>
    <w:multiLevelType w:val="hybridMultilevel"/>
    <w:tmpl w:val="FFFFFFFF"/>
    <w:lvl w:ilvl="0" w:tplc="3CB2F81E">
      <w:start w:val="1"/>
      <w:numFmt w:val="bullet"/>
      <w:lvlText w:val=""/>
      <w:lvlJc w:val="left"/>
      <w:pPr>
        <w:ind w:left="720" w:hanging="360"/>
      </w:pPr>
      <w:rPr>
        <w:rFonts w:ascii="Symbol" w:hAnsi="Symbol" w:hint="default"/>
      </w:rPr>
    </w:lvl>
    <w:lvl w:ilvl="1" w:tplc="230C0A90">
      <w:start w:val="1"/>
      <w:numFmt w:val="bullet"/>
      <w:lvlText w:val="o"/>
      <w:lvlJc w:val="left"/>
      <w:pPr>
        <w:ind w:left="1440" w:hanging="360"/>
      </w:pPr>
      <w:rPr>
        <w:rFonts w:ascii="Courier New" w:hAnsi="Courier New" w:hint="default"/>
      </w:rPr>
    </w:lvl>
    <w:lvl w:ilvl="2" w:tplc="7054A078">
      <w:start w:val="1"/>
      <w:numFmt w:val="bullet"/>
      <w:lvlText w:val=""/>
      <w:lvlJc w:val="left"/>
      <w:pPr>
        <w:ind w:left="2160" w:hanging="360"/>
      </w:pPr>
      <w:rPr>
        <w:rFonts w:ascii="Wingdings" w:hAnsi="Wingdings" w:hint="default"/>
      </w:rPr>
    </w:lvl>
    <w:lvl w:ilvl="3" w:tplc="AE56AA58">
      <w:start w:val="1"/>
      <w:numFmt w:val="bullet"/>
      <w:lvlText w:val=""/>
      <w:lvlJc w:val="left"/>
      <w:pPr>
        <w:ind w:left="2880" w:hanging="360"/>
      </w:pPr>
      <w:rPr>
        <w:rFonts w:ascii="Symbol" w:hAnsi="Symbol" w:hint="default"/>
      </w:rPr>
    </w:lvl>
    <w:lvl w:ilvl="4" w:tplc="A1E8E8CE">
      <w:start w:val="1"/>
      <w:numFmt w:val="bullet"/>
      <w:lvlText w:val="o"/>
      <w:lvlJc w:val="left"/>
      <w:pPr>
        <w:ind w:left="3600" w:hanging="360"/>
      </w:pPr>
      <w:rPr>
        <w:rFonts w:ascii="Courier New" w:hAnsi="Courier New" w:hint="default"/>
      </w:rPr>
    </w:lvl>
    <w:lvl w:ilvl="5" w:tplc="E634F0CC">
      <w:start w:val="1"/>
      <w:numFmt w:val="bullet"/>
      <w:lvlText w:val=""/>
      <w:lvlJc w:val="left"/>
      <w:pPr>
        <w:ind w:left="4320" w:hanging="360"/>
      </w:pPr>
      <w:rPr>
        <w:rFonts w:ascii="Wingdings" w:hAnsi="Wingdings" w:hint="default"/>
      </w:rPr>
    </w:lvl>
    <w:lvl w:ilvl="6" w:tplc="48C29BFC">
      <w:start w:val="1"/>
      <w:numFmt w:val="bullet"/>
      <w:lvlText w:val=""/>
      <w:lvlJc w:val="left"/>
      <w:pPr>
        <w:ind w:left="5040" w:hanging="360"/>
      </w:pPr>
      <w:rPr>
        <w:rFonts w:ascii="Symbol" w:hAnsi="Symbol" w:hint="default"/>
      </w:rPr>
    </w:lvl>
    <w:lvl w:ilvl="7" w:tplc="7896B454">
      <w:start w:val="1"/>
      <w:numFmt w:val="bullet"/>
      <w:lvlText w:val="o"/>
      <w:lvlJc w:val="left"/>
      <w:pPr>
        <w:ind w:left="5760" w:hanging="360"/>
      </w:pPr>
      <w:rPr>
        <w:rFonts w:ascii="Courier New" w:hAnsi="Courier New" w:hint="default"/>
      </w:rPr>
    </w:lvl>
    <w:lvl w:ilvl="8" w:tplc="ABE4FBC4">
      <w:start w:val="1"/>
      <w:numFmt w:val="bullet"/>
      <w:lvlText w:val=""/>
      <w:lvlJc w:val="left"/>
      <w:pPr>
        <w:ind w:left="6480" w:hanging="360"/>
      </w:pPr>
      <w:rPr>
        <w:rFonts w:ascii="Wingdings" w:hAnsi="Wingdings" w:hint="default"/>
      </w:rPr>
    </w:lvl>
  </w:abstractNum>
  <w:abstractNum w:abstractNumId="7" w15:restartNumberingAfterBreak="0">
    <w:nsid w:val="681F3063"/>
    <w:multiLevelType w:val="hybridMultilevel"/>
    <w:tmpl w:val="FFFFFFFF"/>
    <w:lvl w:ilvl="0" w:tplc="F782C660">
      <w:start w:val="1"/>
      <w:numFmt w:val="bullet"/>
      <w:lvlText w:val=""/>
      <w:lvlJc w:val="left"/>
      <w:pPr>
        <w:ind w:left="720" w:hanging="360"/>
      </w:pPr>
      <w:rPr>
        <w:rFonts w:ascii="Symbol" w:hAnsi="Symbol" w:hint="default"/>
      </w:rPr>
    </w:lvl>
    <w:lvl w:ilvl="1" w:tplc="FBE65C12">
      <w:start w:val="1"/>
      <w:numFmt w:val="bullet"/>
      <w:lvlText w:val="o"/>
      <w:lvlJc w:val="left"/>
      <w:pPr>
        <w:ind w:left="1440" w:hanging="360"/>
      </w:pPr>
      <w:rPr>
        <w:rFonts w:ascii="Courier New" w:hAnsi="Courier New" w:hint="default"/>
      </w:rPr>
    </w:lvl>
    <w:lvl w:ilvl="2" w:tplc="7B0C0724">
      <w:start w:val="1"/>
      <w:numFmt w:val="bullet"/>
      <w:lvlText w:val=""/>
      <w:lvlJc w:val="left"/>
      <w:pPr>
        <w:ind w:left="2160" w:hanging="360"/>
      </w:pPr>
      <w:rPr>
        <w:rFonts w:ascii="Wingdings" w:hAnsi="Wingdings" w:hint="default"/>
      </w:rPr>
    </w:lvl>
    <w:lvl w:ilvl="3" w:tplc="34F27DDA">
      <w:start w:val="1"/>
      <w:numFmt w:val="bullet"/>
      <w:lvlText w:val=""/>
      <w:lvlJc w:val="left"/>
      <w:pPr>
        <w:ind w:left="2880" w:hanging="360"/>
      </w:pPr>
      <w:rPr>
        <w:rFonts w:ascii="Symbol" w:hAnsi="Symbol" w:hint="default"/>
      </w:rPr>
    </w:lvl>
    <w:lvl w:ilvl="4" w:tplc="98325058">
      <w:start w:val="1"/>
      <w:numFmt w:val="bullet"/>
      <w:lvlText w:val="o"/>
      <w:lvlJc w:val="left"/>
      <w:pPr>
        <w:ind w:left="3600" w:hanging="360"/>
      </w:pPr>
      <w:rPr>
        <w:rFonts w:ascii="Courier New" w:hAnsi="Courier New" w:hint="default"/>
      </w:rPr>
    </w:lvl>
    <w:lvl w:ilvl="5" w:tplc="99864E46">
      <w:start w:val="1"/>
      <w:numFmt w:val="bullet"/>
      <w:lvlText w:val=""/>
      <w:lvlJc w:val="left"/>
      <w:pPr>
        <w:ind w:left="4320" w:hanging="360"/>
      </w:pPr>
      <w:rPr>
        <w:rFonts w:ascii="Wingdings" w:hAnsi="Wingdings" w:hint="default"/>
      </w:rPr>
    </w:lvl>
    <w:lvl w:ilvl="6" w:tplc="215AE582">
      <w:start w:val="1"/>
      <w:numFmt w:val="bullet"/>
      <w:lvlText w:val=""/>
      <w:lvlJc w:val="left"/>
      <w:pPr>
        <w:ind w:left="5040" w:hanging="360"/>
      </w:pPr>
      <w:rPr>
        <w:rFonts w:ascii="Symbol" w:hAnsi="Symbol" w:hint="default"/>
      </w:rPr>
    </w:lvl>
    <w:lvl w:ilvl="7" w:tplc="497EF8E0">
      <w:start w:val="1"/>
      <w:numFmt w:val="bullet"/>
      <w:lvlText w:val="o"/>
      <w:lvlJc w:val="left"/>
      <w:pPr>
        <w:ind w:left="5760" w:hanging="360"/>
      </w:pPr>
      <w:rPr>
        <w:rFonts w:ascii="Courier New" w:hAnsi="Courier New" w:hint="default"/>
      </w:rPr>
    </w:lvl>
    <w:lvl w:ilvl="8" w:tplc="2E246614">
      <w:start w:val="1"/>
      <w:numFmt w:val="bullet"/>
      <w:lvlText w:val=""/>
      <w:lvlJc w:val="left"/>
      <w:pPr>
        <w:ind w:left="6480" w:hanging="360"/>
      </w:pPr>
      <w:rPr>
        <w:rFonts w:ascii="Wingdings" w:hAnsi="Wingdings" w:hint="default"/>
      </w:rPr>
    </w:lvl>
  </w:abstractNum>
  <w:abstractNum w:abstractNumId="8" w15:restartNumberingAfterBreak="0">
    <w:nsid w:val="6ECA7D2C"/>
    <w:multiLevelType w:val="hybridMultilevel"/>
    <w:tmpl w:val="FFFFFFFF"/>
    <w:lvl w:ilvl="0" w:tplc="CA082B9E">
      <w:start w:val="1"/>
      <w:numFmt w:val="bullet"/>
      <w:lvlText w:val=""/>
      <w:lvlJc w:val="left"/>
      <w:pPr>
        <w:ind w:left="720" w:hanging="360"/>
      </w:pPr>
      <w:rPr>
        <w:rFonts w:ascii="Symbol" w:hAnsi="Symbol" w:hint="default"/>
      </w:rPr>
    </w:lvl>
    <w:lvl w:ilvl="1" w:tplc="DC3434DC">
      <w:start w:val="1"/>
      <w:numFmt w:val="bullet"/>
      <w:lvlText w:val="o"/>
      <w:lvlJc w:val="left"/>
      <w:pPr>
        <w:ind w:left="1440" w:hanging="360"/>
      </w:pPr>
      <w:rPr>
        <w:rFonts w:ascii="Courier New" w:hAnsi="Courier New" w:hint="default"/>
      </w:rPr>
    </w:lvl>
    <w:lvl w:ilvl="2" w:tplc="4B04406E">
      <w:start w:val="1"/>
      <w:numFmt w:val="bullet"/>
      <w:lvlText w:val=""/>
      <w:lvlJc w:val="left"/>
      <w:pPr>
        <w:ind w:left="2160" w:hanging="360"/>
      </w:pPr>
      <w:rPr>
        <w:rFonts w:ascii="Wingdings" w:hAnsi="Wingdings" w:hint="default"/>
      </w:rPr>
    </w:lvl>
    <w:lvl w:ilvl="3" w:tplc="207A5352">
      <w:start w:val="1"/>
      <w:numFmt w:val="bullet"/>
      <w:lvlText w:val=""/>
      <w:lvlJc w:val="left"/>
      <w:pPr>
        <w:ind w:left="2880" w:hanging="360"/>
      </w:pPr>
      <w:rPr>
        <w:rFonts w:ascii="Symbol" w:hAnsi="Symbol" w:hint="default"/>
      </w:rPr>
    </w:lvl>
    <w:lvl w:ilvl="4" w:tplc="0972A806">
      <w:start w:val="1"/>
      <w:numFmt w:val="bullet"/>
      <w:lvlText w:val="o"/>
      <w:lvlJc w:val="left"/>
      <w:pPr>
        <w:ind w:left="3600" w:hanging="360"/>
      </w:pPr>
      <w:rPr>
        <w:rFonts w:ascii="Courier New" w:hAnsi="Courier New" w:hint="default"/>
      </w:rPr>
    </w:lvl>
    <w:lvl w:ilvl="5" w:tplc="8FEA8A66">
      <w:start w:val="1"/>
      <w:numFmt w:val="bullet"/>
      <w:lvlText w:val=""/>
      <w:lvlJc w:val="left"/>
      <w:pPr>
        <w:ind w:left="4320" w:hanging="360"/>
      </w:pPr>
      <w:rPr>
        <w:rFonts w:ascii="Wingdings" w:hAnsi="Wingdings" w:hint="default"/>
      </w:rPr>
    </w:lvl>
    <w:lvl w:ilvl="6" w:tplc="02862AA6">
      <w:start w:val="1"/>
      <w:numFmt w:val="bullet"/>
      <w:lvlText w:val=""/>
      <w:lvlJc w:val="left"/>
      <w:pPr>
        <w:ind w:left="5040" w:hanging="360"/>
      </w:pPr>
      <w:rPr>
        <w:rFonts w:ascii="Symbol" w:hAnsi="Symbol" w:hint="default"/>
      </w:rPr>
    </w:lvl>
    <w:lvl w:ilvl="7" w:tplc="9FDAEF92">
      <w:start w:val="1"/>
      <w:numFmt w:val="bullet"/>
      <w:lvlText w:val="o"/>
      <w:lvlJc w:val="left"/>
      <w:pPr>
        <w:ind w:left="5760" w:hanging="360"/>
      </w:pPr>
      <w:rPr>
        <w:rFonts w:ascii="Courier New" w:hAnsi="Courier New" w:hint="default"/>
      </w:rPr>
    </w:lvl>
    <w:lvl w:ilvl="8" w:tplc="6F6A98A8">
      <w:start w:val="1"/>
      <w:numFmt w:val="bullet"/>
      <w:lvlText w:val=""/>
      <w:lvlJc w:val="left"/>
      <w:pPr>
        <w:ind w:left="6480" w:hanging="360"/>
      </w:pPr>
      <w:rPr>
        <w:rFonts w:ascii="Wingdings" w:hAnsi="Wingdings" w:hint="default"/>
      </w:rPr>
    </w:lvl>
  </w:abstractNum>
  <w:abstractNum w:abstractNumId="9" w15:restartNumberingAfterBreak="0">
    <w:nsid w:val="739B5FEA"/>
    <w:multiLevelType w:val="hybridMultilevel"/>
    <w:tmpl w:val="FFFFFFFF"/>
    <w:lvl w:ilvl="0" w:tplc="CE2C1594">
      <w:start w:val="1"/>
      <w:numFmt w:val="bullet"/>
      <w:lvlText w:val=""/>
      <w:lvlJc w:val="left"/>
      <w:pPr>
        <w:ind w:left="720" w:hanging="360"/>
      </w:pPr>
      <w:rPr>
        <w:rFonts w:ascii="Symbol" w:hAnsi="Symbol" w:hint="default"/>
      </w:rPr>
    </w:lvl>
    <w:lvl w:ilvl="1" w:tplc="20688588">
      <w:start w:val="1"/>
      <w:numFmt w:val="bullet"/>
      <w:lvlText w:val="o"/>
      <w:lvlJc w:val="left"/>
      <w:pPr>
        <w:ind w:left="1440" w:hanging="360"/>
      </w:pPr>
      <w:rPr>
        <w:rFonts w:ascii="Courier New" w:hAnsi="Courier New" w:hint="default"/>
      </w:rPr>
    </w:lvl>
    <w:lvl w:ilvl="2" w:tplc="2DBCCDA6">
      <w:start w:val="1"/>
      <w:numFmt w:val="bullet"/>
      <w:lvlText w:val=""/>
      <w:lvlJc w:val="left"/>
      <w:pPr>
        <w:ind w:left="2160" w:hanging="360"/>
      </w:pPr>
      <w:rPr>
        <w:rFonts w:ascii="Wingdings" w:hAnsi="Wingdings" w:hint="default"/>
      </w:rPr>
    </w:lvl>
    <w:lvl w:ilvl="3" w:tplc="D50A8986">
      <w:start w:val="1"/>
      <w:numFmt w:val="bullet"/>
      <w:lvlText w:val=""/>
      <w:lvlJc w:val="left"/>
      <w:pPr>
        <w:ind w:left="2880" w:hanging="360"/>
      </w:pPr>
      <w:rPr>
        <w:rFonts w:ascii="Symbol" w:hAnsi="Symbol" w:hint="default"/>
      </w:rPr>
    </w:lvl>
    <w:lvl w:ilvl="4" w:tplc="481EFD50">
      <w:start w:val="1"/>
      <w:numFmt w:val="bullet"/>
      <w:lvlText w:val="o"/>
      <w:lvlJc w:val="left"/>
      <w:pPr>
        <w:ind w:left="3600" w:hanging="360"/>
      </w:pPr>
      <w:rPr>
        <w:rFonts w:ascii="Courier New" w:hAnsi="Courier New" w:hint="default"/>
      </w:rPr>
    </w:lvl>
    <w:lvl w:ilvl="5" w:tplc="B456E4C0">
      <w:start w:val="1"/>
      <w:numFmt w:val="bullet"/>
      <w:lvlText w:val=""/>
      <w:lvlJc w:val="left"/>
      <w:pPr>
        <w:ind w:left="4320" w:hanging="360"/>
      </w:pPr>
      <w:rPr>
        <w:rFonts w:ascii="Wingdings" w:hAnsi="Wingdings" w:hint="default"/>
      </w:rPr>
    </w:lvl>
    <w:lvl w:ilvl="6" w:tplc="376ED416">
      <w:start w:val="1"/>
      <w:numFmt w:val="bullet"/>
      <w:lvlText w:val=""/>
      <w:lvlJc w:val="left"/>
      <w:pPr>
        <w:ind w:left="5040" w:hanging="360"/>
      </w:pPr>
      <w:rPr>
        <w:rFonts w:ascii="Symbol" w:hAnsi="Symbol" w:hint="default"/>
      </w:rPr>
    </w:lvl>
    <w:lvl w:ilvl="7" w:tplc="01F69546">
      <w:start w:val="1"/>
      <w:numFmt w:val="bullet"/>
      <w:lvlText w:val="o"/>
      <w:lvlJc w:val="left"/>
      <w:pPr>
        <w:ind w:left="5760" w:hanging="360"/>
      </w:pPr>
      <w:rPr>
        <w:rFonts w:ascii="Courier New" w:hAnsi="Courier New" w:hint="default"/>
      </w:rPr>
    </w:lvl>
    <w:lvl w:ilvl="8" w:tplc="0E62408E">
      <w:start w:val="1"/>
      <w:numFmt w:val="bullet"/>
      <w:lvlText w:val=""/>
      <w:lvlJc w:val="left"/>
      <w:pPr>
        <w:ind w:left="6480" w:hanging="360"/>
      </w:pPr>
      <w:rPr>
        <w:rFonts w:ascii="Wingdings" w:hAnsi="Wingdings" w:hint="default"/>
      </w:rPr>
    </w:lvl>
  </w:abstractNum>
  <w:abstractNum w:abstractNumId="10" w15:restartNumberingAfterBreak="0">
    <w:nsid w:val="79AC045B"/>
    <w:multiLevelType w:val="hybridMultilevel"/>
    <w:tmpl w:val="FFFFFFFF"/>
    <w:lvl w:ilvl="0" w:tplc="A38812B8">
      <w:start w:val="1"/>
      <w:numFmt w:val="bullet"/>
      <w:lvlText w:val=""/>
      <w:lvlJc w:val="left"/>
      <w:pPr>
        <w:ind w:left="720" w:hanging="360"/>
      </w:pPr>
      <w:rPr>
        <w:rFonts w:ascii="Symbol" w:hAnsi="Symbol" w:hint="default"/>
      </w:rPr>
    </w:lvl>
    <w:lvl w:ilvl="1" w:tplc="5B901CD6">
      <w:start w:val="1"/>
      <w:numFmt w:val="bullet"/>
      <w:lvlText w:val="o"/>
      <w:lvlJc w:val="left"/>
      <w:pPr>
        <w:ind w:left="1440" w:hanging="360"/>
      </w:pPr>
      <w:rPr>
        <w:rFonts w:ascii="Courier New" w:hAnsi="Courier New" w:hint="default"/>
      </w:rPr>
    </w:lvl>
    <w:lvl w:ilvl="2" w:tplc="9FD2CA4C">
      <w:start w:val="1"/>
      <w:numFmt w:val="bullet"/>
      <w:lvlText w:val=""/>
      <w:lvlJc w:val="left"/>
      <w:pPr>
        <w:ind w:left="2160" w:hanging="360"/>
      </w:pPr>
      <w:rPr>
        <w:rFonts w:ascii="Wingdings" w:hAnsi="Wingdings" w:hint="default"/>
      </w:rPr>
    </w:lvl>
    <w:lvl w:ilvl="3" w:tplc="474A4E86">
      <w:start w:val="1"/>
      <w:numFmt w:val="bullet"/>
      <w:lvlText w:val=""/>
      <w:lvlJc w:val="left"/>
      <w:pPr>
        <w:ind w:left="2880" w:hanging="360"/>
      </w:pPr>
      <w:rPr>
        <w:rFonts w:ascii="Symbol" w:hAnsi="Symbol" w:hint="default"/>
      </w:rPr>
    </w:lvl>
    <w:lvl w:ilvl="4" w:tplc="E28A64AA">
      <w:start w:val="1"/>
      <w:numFmt w:val="bullet"/>
      <w:lvlText w:val="o"/>
      <w:lvlJc w:val="left"/>
      <w:pPr>
        <w:ind w:left="3600" w:hanging="360"/>
      </w:pPr>
      <w:rPr>
        <w:rFonts w:ascii="Courier New" w:hAnsi="Courier New" w:hint="default"/>
      </w:rPr>
    </w:lvl>
    <w:lvl w:ilvl="5" w:tplc="58B48B9E">
      <w:start w:val="1"/>
      <w:numFmt w:val="bullet"/>
      <w:lvlText w:val=""/>
      <w:lvlJc w:val="left"/>
      <w:pPr>
        <w:ind w:left="4320" w:hanging="360"/>
      </w:pPr>
      <w:rPr>
        <w:rFonts w:ascii="Wingdings" w:hAnsi="Wingdings" w:hint="default"/>
      </w:rPr>
    </w:lvl>
    <w:lvl w:ilvl="6" w:tplc="B32640CE">
      <w:start w:val="1"/>
      <w:numFmt w:val="bullet"/>
      <w:lvlText w:val=""/>
      <w:lvlJc w:val="left"/>
      <w:pPr>
        <w:ind w:left="5040" w:hanging="360"/>
      </w:pPr>
      <w:rPr>
        <w:rFonts w:ascii="Symbol" w:hAnsi="Symbol" w:hint="default"/>
      </w:rPr>
    </w:lvl>
    <w:lvl w:ilvl="7" w:tplc="A71455D4">
      <w:start w:val="1"/>
      <w:numFmt w:val="bullet"/>
      <w:lvlText w:val="o"/>
      <w:lvlJc w:val="left"/>
      <w:pPr>
        <w:ind w:left="5760" w:hanging="360"/>
      </w:pPr>
      <w:rPr>
        <w:rFonts w:ascii="Courier New" w:hAnsi="Courier New" w:hint="default"/>
      </w:rPr>
    </w:lvl>
    <w:lvl w:ilvl="8" w:tplc="F766C30C">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4"/>
  </w:num>
  <w:num w:numId="6">
    <w:abstractNumId w:val="7"/>
  </w:num>
  <w:num w:numId="7">
    <w:abstractNumId w:val="8"/>
  </w:num>
  <w:num w:numId="8">
    <w:abstractNumId w:val="3"/>
  </w:num>
  <w:num w:numId="9">
    <w:abstractNumId w:val="9"/>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38A670"/>
    <w:rsid w:val="00015A50"/>
    <w:rsid w:val="00027405"/>
    <w:rsid w:val="00033FA6"/>
    <w:rsid w:val="000526BF"/>
    <w:rsid w:val="000603BB"/>
    <w:rsid w:val="00077026"/>
    <w:rsid w:val="00097EA5"/>
    <w:rsid w:val="000A5822"/>
    <w:rsid w:val="001031CC"/>
    <w:rsid w:val="00132F1F"/>
    <w:rsid w:val="00144C67"/>
    <w:rsid w:val="00153CF2"/>
    <w:rsid w:val="001667F4"/>
    <w:rsid w:val="00175E5B"/>
    <w:rsid w:val="00182D5C"/>
    <w:rsid w:val="00192ABA"/>
    <w:rsid w:val="00194417"/>
    <w:rsid w:val="0019EF63"/>
    <w:rsid w:val="001A1854"/>
    <w:rsid w:val="001A71D1"/>
    <w:rsid w:val="001C450B"/>
    <w:rsid w:val="001C799F"/>
    <w:rsid w:val="001F0C1B"/>
    <w:rsid w:val="001F707B"/>
    <w:rsid w:val="00233C9F"/>
    <w:rsid w:val="0024717C"/>
    <w:rsid w:val="00293347"/>
    <w:rsid w:val="002E25D3"/>
    <w:rsid w:val="002E686B"/>
    <w:rsid w:val="002F222C"/>
    <w:rsid w:val="002F6701"/>
    <w:rsid w:val="0031286F"/>
    <w:rsid w:val="00323929"/>
    <w:rsid w:val="003330C5"/>
    <w:rsid w:val="00393516"/>
    <w:rsid w:val="0039A495"/>
    <w:rsid w:val="003A429B"/>
    <w:rsid w:val="003B0409"/>
    <w:rsid w:val="003B7652"/>
    <w:rsid w:val="003E5614"/>
    <w:rsid w:val="003E7841"/>
    <w:rsid w:val="003F182A"/>
    <w:rsid w:val="003F2EA3"/>
    <w:rsid w:val="003F4E3F"/>
    <w:rsid w:val="00403E4D"/>
    <w:rsid w:val="00407A76"/>
    <w:rsid w:val="00444EA3"/>
    <w:rsid w:val="00453D9D"/>
    <w:rsid w:val="0045E9AD"/>
    <w:rsid w:val="00475A76"/>
    <w:rsid w:val="00493230"/>
    <w:rsid w:val="004B32E4"/>
    <w:rsid w:val="004D0C46"/>
    <w:rsid w:val="004E614E"/>
    <w:rsid w:val="004E6344"/>
    <w:rsid w:val="004F5241"/>
    <w:rsid w:val="00506753"/>
    <w:rsid w:val="00512DF7"/>
    <w:rsid w:val="00555918"/>
    <w:rsid w:val="00594C8D"/>
    <w:rsid w:val="005A233C"/>
    <w:rsid w:val="005B5595"/>
    <w:rsid w:val="005E5081"/>
    <w:rsid w:val="0062B8FA"/>
    <w:rsid w:val="006313FC"/>
    <w:rsid w:val="00642C82"/>
    <w:rsid w:val="006615C1"/>
    <w:rsid w:val="006A4ADD"/>
    <w:rsid w:val="006B7CC6"/>
    <w:rsid w:val="006C531E"/>
    <w:rsid w:val="006D484D"/>
    <w:rsid w:val="006E6913"/>
    <w:rsid w:val="0070751F"/>
    <w:rsid w:val="007A3B42"/>
    <w:rsid w:val="007B6631"/>
    <w:rsid w:val="008019EF"/>
    <w:rsid w:val="0080736B"/>
    <w:rsid w:val="00820A98"/>
    <w:rsid w:val="00831577"/>
    <w:rsid w:val="00850A66"/>
    <w:rsid w:val="00866CBF"/>
    <w:rsid w:val="008A6600"/>
    <w:rsid w:val="008C06D5"/>
    <w:rsid w:val="008C4081"/>
    <w:rsid w:val="008E4661"/>
    <w:rsid w:val="008E52EB"/>
    <w:rsid w:val="009075E7"/>
    <w:rsid w:val="00955E40"/>
    <w:rsid w:val="00965BBA"/>
    <w:rsid w:val="009733B7"/>
    <w:rsid w:val="0097396D"/>
    <w:rsid w:val="009809BE"/>
    <w:rsid w:val="00980E99"/>
    <w:rsid w:val="00997D21"/>
    <w:rsid w:val="009B1B12"/>
    <w:rsid w:val="009B427D"/>
    <w:rsid w:val="009C37C7"/>
    <w:rsid w:val="009C486E"/>
    <w:rsid w:val="009E27AD"/>
    <w:rsid w:val="009E7228"/>
    <w:rsid w:val="00A10347"/>
    <w:rsid w:val="00A45F8D"/>
    <w:rsid w:val="00A5513B"/>
    <w:rsid w:val="00A821B7"/>
    <w:rsid w:val="00A82D52"/>
    <w:rsid w:val="00A861B9"/>
    <w:rsid w:val="00AC1D29"/>
    <w:rsid w:val="00AD0959"/>
    <w:rsid w:val="00B0327A"/>
    <w:rsid w:val="00B035BD"/>
    <w:rsid w:val="00B057E2"/>
    <w:rsid w:val="00B209A3"/>
    <w:rsid w:val="00B32386"/>
    <w:rsid w:val="00B54E0D"/>
    <w:rsid w:val="00B57F7C"/>
    <w:rsid w:val="00B777AA"/>
    <w:rsid w:val="00B8689B"/>
    <w:rsid w:val="00B94C65"/>
    <w:rsid w:val="00B9723F"/>
    <w:rsid w:val="00B975FD"/>
    <w:rsid w:val="00BE4B83"/>
    <w:rsid w:val="00C02889"/>
    <w:rsid w:val="00C05545"/>
    <w:rsid w:val="00C12D96"/>
    <w:rsid w:val="00C152E1"/>
    <w:rsid w:val="00C4328C"/>
    <w:rsid w:val="00C54599"/>
    <w:rsid w:val="00C74E30"/>
    <w:rsid w:val="00C77CDF"/>
    <w:rsid w:val="00C93DE2"/>
    <w:rsid w:val="00CC073A"/>
    <w:rsid w:val="00CC548C"/>
    <w:rsid w:val="00CC66F4"/>
    <w:rsid w:val="00D04EA2"/>
    <w:rsid w:val="00D14604"/>
    <w:rsid w:val="00D20D9E"/>
    <w:rsid w:val="00D24185"/>
    <w:rsid w:val="00D25EE4"/>
    <w:rsid w:val="00D5060D"/>
    <w:rsid w:val="00D57355"/>
    <w:rsid w:val="00D75CAB"/>
    <w:rsid w:val="00D941A6"/>
    <w:rsid w:val="00DA4BB8"/>
    <w:rsid w:val="00DA4C1E"/>
    <w:rsid w:val="00DE5BEA"/>
    <w:rsid w:val="00DF1080"/>
    <w:rsid w:val="00DF4CEF"/>
    <w:rsid w:val="00E02331"/>
    <w:rsid w:val="00E26C29"/>
    <w:rsid w:val="00E7422C"/>
    <w:rsid w:val="00E756BA"/>
    <w:rsid w:val="00EB52B9"/>
    <w:rsid w:val="00EB54AC"/>
    <w:rsid w:val="00EB7292"/>
    <w:rsid w:val="00EE31F3"/>
    <w:rsid w:val="00EE4894"/>
    <w:rsid w:val="00EE992B"/>
    <w:rsid w:val="00F23B6E"/>
    <w:rsid w:val="00F316E5"/>
    <w:rsid w:val="00F4039B"/>
    <w:rsid w:val="00F80EDB"/>
    <w:rsid w:val="00FC00C6"/>
    <w:rsid w:val="00FC379D"/>
    <w:rsid w:val="00FC7CF5"/>
    <w:rsid w:val="00FD7381"/>
    <w:rsid w:val="010F2133"/>
    <w:rsid w:val="0127CC60"/>
    <w:rsid w:val="01366DC4"/>
    <w:rsid w:val="0148AB20"/>
    <w:rsid w:val="01D58848"/>
    <w:rsid w:val="02AD18CF"/>
    <w:rsid w:val="02B19384"/>
    <w:rsid w:val="0313164F"/>
    <w:rsid w:val="031F0B39"/>
    <w:rsid w:val="0366C5F3"/>
    <w:rsid w:val="036C54B2"/>
    <w:rsid w:val="03B0B64C"/>
    <w:rsid w:val="03B41554"/>
    <w:rsid w:val="0454CB06"/>
    <w:rsid w:val="04D54886"/>
    <w:rsid w:val="04DCA81D"/>
    <w:rsid w:val="052A482E"/>
    <w:rsid w:val="05475471"/>
    <w:rsid w:val="0577F7BB"/>
    <w:rsid w:val="05A3C61D"/>
    <w:rsid w:val="0667398A"/>
    <w:rsid w:val="06C28F4B"/>
    <w:rsid w:val="06E2B041"/>
    <w:rsid w:val="073A9AB8"/>
    <w:rsid w:val="079B1F0D"/>
    <w:rsid w:val="07FF7D1B"/>
    <w:rsid w:val="082583B6"/>
    <w:rsid w:val="0847F964"/>
    <w:rsid w:val="084D30C5"/>
    <w:rsid w:val="0903F212"/>
    <w:rsid w:val="0925AC73"/>
    <w:rsid w:val="0932DE45"/>
    <w:rsid w:val="0950306A"/>
    <w:rsid w:val="0985A19D"/>
    <w:rsid w:val="0995589E"/>
    <w:rsid w:val="09F72E23"/>
    <w:rsid w:val="0B0A2DB0"/>
    <w:rsid w:val="0B7F9A26"/>
    <w:rsid w:val="0C032C23"/>
    <w:rsid w:val="0C20A09C"/>
    <w:rsid w:val="0C2FE250"/>
    <w:rsid w:val="0C535362"/>
    <w:rsid w:val="0C966CFD"/>
    <w:rsid w:val="0C9C3DC9"/>
    <w:rsid w:val="0CF92E25"/>
    <w:rsid w:val="0D58F21B"/>
    <w:rsid w:val="0D8F5BBA"/>
    <w:rsid w:val="0E838A63"/>
    <w:rsid w:val="0E94C53A"/>
    <w:rsid w:val="0ED06345"/>
    <w:rsid w:val="0EFAC679"/>
    <w:rsid w:val="0F2BD11D"/>
    <w:rsid w:val="0FA50C36"/>
    <w:rsid w:val="0FF68732"/>
    <w:rsid w:val="101E8943"/>
    <w:rsid w:val="102CC25D"/>
    <w:rsid w:val="1030959B"/>
    <w:rsid w:val="1064BEB2"/>
    <w:rsid w:val="116943EA"/>
    <w:rsid w:val="119392F1"/>
    <w:rsid w:val="119D5847"/>
    <w:rsid w:val="11BD1365"/>
    <w:rsid w:val="11D48BD3"/>
    <w:rsid w:val="123D99E0"/>
    <w:rsid w:val="12BC430B"/>
    <w:rsid w:val="12D4A9E9"/>
    <w:rsid w:val="12E846CC"/>
    <w:rsid w:val="13115DEA"/>
    <w:rsid w:val="136D8A2F"/>
    <w:rsid w:val="13D4F7E5"/>
    <w:rsid w:val="13E89469"/>
    <w:rsid w:val="141EA36F"/>
    <w:rsid w:val="1458136C"/>
    <w:rsid w:val="14734902"/>
    <w:rsid w:val="149E05AB"/>
    <w:rsid w:val="14C06AD9"/>
    <w:rsid w:val="150AACCB"/>
    <w:rsid w:val="150DC612"/>
    <w:rsid w:val="1588C373"/>
    <w:rsid w:val="15C65131"/>
    <w:rsid w:val="166B04A0"/>
    <w:rsid w:val="16851FA7"/>
    <w:rsid w:val="16B42A6F"/>
    <w:rsid w:val="17834BAA"/>
    <w:rsid w:val="17ADB0C1"/>
    <w:rsid w:val="17B15B76"/>
    <w:rsid w:val="1838A670"/>
    <w:rsid w:val="184A9237"/>
    <w:rsid w:val="18ADF61C"/>
    <w:rsid w:val="18F3C22C"/>
    <w:rsid w:val="1939DB47"/>
    <w:rsid w:val="19483530"/>
    <w:rsid w:val="1950B8A7"/>
    <w:rsid w:val="19631AF8"/>
    <w:rsid w:val="196B087E"/>
    <w:rsid w:val="19F0A03E"/>
    <w:rsid w:val="1A788FAD"/>
    <w:rsid w:val="1A8C7182"/>
    <w:rsid w:val="1AE911A6"/>
    <w:rsid w:val="1B745C76"/>
    <w:rsid w:val="1C1B04A3"/>
    <w:rsid w:val="1C447447"/>
    <w:rsid w:val="1D4A9EF7"/>
    <w:rsid w:val="1D4C5202"/>
    <w:rsid w:val="1DF28D2E"/>
    <w:rsid w:val="1DFF8EFC"/>
    <w:rsid w:val="1E47C6F2"/>
    <w:rsid w:val="1E4D4853"/>
    <w:rsid w:val="1E73A792"/>
    <w:rsid w:val="1EF70DC8"/>
    <w:rsid w:val="1F0A6F67"/>
    <w:rsid w:val="1F5E92EE"/>
    <w:rsid w:val="1F85839A"/>
    <w:rsid w:val="1F88AAD3"/>
    <w:rsid w:val="1FC121A5"/>
    <w:rsid w:val="20089995"/>
    <w:rsid w:val="2046B965"/>
    <w:rsid w:val="205FE1C2"/>
    <w:rsid w:val="20ADEF14"/>
    <w:rsid w:val="211D6E17"/>
    <w:rsid w:val="21DBEFFA"/>
    <w:rsid w:val="21E289C6"/>
    <w:rsid w:val="22771706"/>
    <w:rsid w:val="227AE13F"/>
    <w:rsid w:val="22A17A3A"/>
    <w:rsid w:val="22BD245C"/>
    <w:rsid w:val="23615015"/>
    <w:rsid w:val="236D1F50"/>
    <w:rsid w:val="23CC98A0"/>
    <w:rsid w:val="242D25E4"/>
    <w:rsid w:val="2447B9E6"/>
    <w:rsid w:val="248AE004"/>
    <w:rsid w:val="24AA27A8"/>
    <w:rsid w:val="24B70876"/>
    <w:rsid w:val="24C6C3CA"/>
    <w:rsid w:val="24E2E916"/>
    <w:rsid w:val="25448DBC"/>
    <w:rsid w:val="2572B2C3"/>
    <w:rsid w:val="2580FA01"/>
    <w:rsid w:val="259F9092"/>
    <w:rsid w:val="25B272E1"/>
    <w:rsid w:val="26149388"/>
    <w:rsid w:val="2660AAFA"/>
    <w:rsid w:val="26AD9A07"/>
    <w:rsid w:val="2774BB46"/>
    <w:rsid w:val="278CAF9B"/>
    <w:rsid w:val="27D6564D"/>
    <w:rsid w:val="28577379"/>
    <w:rsid w:val="28AFD04E"/>
    <w:rsid w:val="2908F746"/>
    <w:rsid w:val="294DB414"/>
    <w:rsid w:val="296316A1"/>
    <w:rsid w:val="29FED682"/>
    <w:rsid w:val="2AB0882E"/>
    <w:rsid w:val="2AE0F4E4"/>
    <w:rsid w:val="2AEA3893"/>
    <w:rsid w:val="2B09FF87"/>
    <w:rsid w:val="2B78DD60"/>
    <w:rsid w:val="2BA29469"/>
    <w:rsid w:val="2BB0F3C9"/>
    <w:rsid w:val="2BDC3BD1"/>
    <w:rsid w:val="2C1DF94C"/>
    <w:rsid w:val="2C2F040C"/>
    <w:rsid w:val="2C41076D"/>
    <w:rsid w:val="2C6406A2"/>
    <w:rsid w:val="2CFE3592"/>
    <w:rsid w:val="2D1DE75A"/>
    <w:rsid w:val="2D46B6A8"/>
    <w:rsid w:val="2D66BF15"/>
    <w:rsid w:val="2DACA722"/>
    <w:rsid w:val="2DCAD46D"/>
    <w:rsid w:val="2DEE9C2C"/>
    <w:rsid w:val="2DFFD703"/>
    <w:rsid w:val="2E65D842"/>
    <w:rsid w:val="2E7EFB87"/>
    <w:rsid w:val="2F2F3801"/>
    <w:rsid w:val="2F60053C"/>
    <w:rsid w:val="2F66A4CE"/>
    <w:rsid w:val="2F8A6C8D"/>
    <w:rsid w:val="2FD31272"/>
    <w:rsid w:val="2FEF131C"/>
    <w:rsid w:val="30423A7D"/>
    <w:rsid w:val="305CDD2F"/>
    <w:rsid w:val="306100D3"/>
    <w:rsid w:val="310A92CC"/>
    <w:rsid w:val="31FBB080"/>
    <w:rsid w:val="331F36F7"/>
    <w:rsid w:val="33303882"/>
    <w:rsid w:val="339364B2"/>
    <w:rsid w:val="33AB60F7"/>
    <w:rsid w:val="33B5C842"/>
    <w:rsid w:val="33E3E42B"/>
    <w:rsid w:val="3401D4D1"/>
    <w:rsid w:val="3428C7CD"/>
    <w:rsid w:val="343B3AC5"/>
    <w:rsid w:val="3465CB36"/>
    <w:rsid w:val="349087BB"/>
    <w:rsid w:val="34A09503"/>
    <w:rsid w:val="34C4F139"/>
    <w:rsid w:val="3584609C"/>
    <w:rsid w:val="3596CF71"/>
    <w:rsid w:val="359AAE6D"/>
    <w:rsid w:val="359F87B2"/>
    <w:rsid w:val="35B36EE5"/>
    <w:rsid w:val="3657C1CA"/>
    <w:rsid w:val="36707327"/>
    <w:rsid w:val="3670EA27"/>
    <w:rsid w:val="36AE7AEC"/>
    <w:rsid w:val="3716A98E"/>
    <w:rsid w:val="373A49E6"/>
    <w:rsid w:val="377E1602"/>
    <w:rsid w:val="379CA401"/>
    <w:rsid w:val="37AEE01B"/>
    <w:rsid w:val="385B3E28"/>
    <w:rsid w:val="3867EF14"/>
    <w:rsid w:val="3871A0C6"/>
    <w:rsid w:val="388BC124"/>
    <w:rsid w:val="394A7730"/>
    <w:rsid w:val="3972950D"/>
    <w:rsid w:val="398772F0"/>
    <w:rsid w:val="3A04D41D"/>
    <w:rsid w:val="3A125C6D"/>
    <w:rsid w:val="3A45C882"/>
    <w:rsid w:val="3A46FCCC"/>
    <w:rsid w:val="3A9C4DDC"/>
    <w:rsid w:val="3B9BE344"/>
    <w:rsid w:val="3BA0A47E"/>
    <w:rsid w:val="3BDA42D5"/>
    <w:rsid w:val="3BE18C28"/>
    <w:rsid w:val="3C0661B2"/>
    <w:rsid w:val="3C0D7983"/>
    <w:rsid w:val="3C620DC3"/>
    <w:rsid w:val="3C910D72"/>
    <w:rsid w:val="3CD55BD6"/>
    <w:rsid w:val="3D1AC7B1"/>
    <w:rsid w:val="3D3C74DF"/>
    <w:rsid w:val="3D8A37D2"/>
    <w:rsid w:val="3DBA8F53"/>
    <w:rsid w:val="3E04BFF6"/>
    <w:rsid w:val="3EC095A9"/>
    <w:rsid w:val="3ED4BB2A"/>
    <w:rsid w:val="3F2CCBE0"/>
    <w:rsid w:val="3F77BEEB"/>
    <w:rsid w:val="3F7ECAAA"/>
    <w:rsid w:val="3F9C7582"/>
    <w:rsid w:val="3FC7F104"/>
    <w:rsid w:val="3FCC0833"/>
    <w:rsid w:val="3FF556BF"/>
    <w:rsid w:val="402981DD"/>
    <w:rsid w:val="40A683A1"/>
    <w:rsid w:val="40B483A1"/>
    <w:rsid w:val="40CB00D6"/>
    <w:rsid w:val="410FB1B4"/>
    <w:rsid w:val="41370E7B"/>
    <w:rsid w:val="4166C3EC"/>
    <w:rsid w:val="41AA10F9"/>
    <w:rsid w:val="4219E43E"/>
    <w:rsid w:val="42314708"/>
    <w:rsid w:val="4258FA85"/>
    <w:rsid w:val="428E3764"/>
    <w:rsid w:val="435A1A1E"/>
    <w:rsid w:val="43813673"/>
    <w:rsid w:val="438A244B"/>
    <w:rsid w:val="4437D9E8"/>
    <w:rsid w:val="446E6F84"/>
    <w:rsid w:val="44EDCAE8"/>
    <w:rsid w:val="45745131"/>
    <w:rsid w:val="45D42FB3"/>
    <w:rsid w:val="45E0D5A0"/>
    <w:rsid w:val="45EA4A39"/>
    <w:rsid w:val="4611CC4E"/>
    <w:rsid w:val="4617BF61"/>
    <w:rsid w:val="46CA1FBD"/>
    <w:rsid w:val="46F6B690"/>
    <w:rsid w:val="47B47C31"/>
    <w:rsid w:val="480968A1"/>
    <w:rsid w:val="480F4B67"/>
    <w:rsid w:val="483B5EC7"/>
    <w:rsid w:val="483E2E65"/>
    <w:rsid w:val="486A92B0"/>
    <w:rsid w:val="48DB033A"/>
    <w:rsid w:val="48FD78E8"/>
    <w:rsid w:val="492FC48A"/>
    <w:rsid w:val="49674107"/>
    <w:rsid w:val="49807CFC"/>
    <w:rsid w:val="4990F125"/>
    <w:rsid w:val="4A10A408"/>
    <w:rsid w:val="4A76D39B"/>
    <w:rsid w:val="4AD6E60D"/>
    <w:rsid w:val="4AEB3084"/>
    <w:rsid w:val="4BC09166"/>
    <w:rsid w:val="4C19F7F4"/>
    <w:rsid w:val="4CF045C1"/>
    <w:rsid w:val="4CF6AEA5"/>
    <w:rsid w:val="4D20EF17"/>
    <w:rsid w:val="4D4CCFB7"/>
    <w:rsid w:val="4D597E1D"/>
    <w:rsid w:val="4DD05EB1"/>
    <w:rsid w:val="4E2FF51B"/>
    <w:rsid w:val="4EB667EB"/>
    <w:rsid w:val="4EFD6BDC"/>
    <w:rsid w:val="4F00F429"/>
    <w:rsid w:val="4F32F0A7"/>
    <w:rsid w:val="4F4B5369"/>
    <w:rsid w:val="4F760686"/>
    <w:rsid w:val="4F7D0F42"/>
    <w:rsid w:val="5009F805"/>
    <w:rsid w:val="501C7E72"/>
    <w:rsid w:val="50847079"/>
    <w:rsid w:val="50993C3D"/>
    <w:rsid w:val="50BC17F1"/>
    <w:rsid w:val="50E6151F"/>
    <w:rsid w:val="516BACDF"/>
    <w:rsid w:val="5189F0B8"/>
    <w:rsid w:val="519BED75"/>
    <w:rsid w:val="51E46661"/>
    <w:rsid w:val="51FC2F8F"/>
    <w:rsid w:val="520B596B"/>
    <w:rsid w:val="52553CF5"/>
    <w:rsid w:val="528F0FE3"/>
    <w:rsid w:val="52C22307"/>
    <w:rsid w:val="5326E2C7"/>
    <w:rsid w:val="533B109C"/>
    <w:rsid w:val="54522312"/>
    <w:rsid w:val="546CF7C3"/>
    <w:rsid w:val="54A34DA1"/>
    <w:rsid w:val="54D64A08"/>
    <w:rsid w:val="54E24093"/>
    <w:rsid w:val="5533B794"/>
    <w:rsid w:val="5537DAE1"/>
    <w:rsid w:val="554D64D7"/>
    <w:rsid w:val="559F366B"/>
    <w:rsid w:val="55ED2812"/>
    <w:rsid w:val="5668F890"/>
    <w:rsid w:val="566EABBA"/>
    <w:rsid w:val="56711260"/>
    <w:rsid w:val="56721A69"/>
    <w:rsid w:val="56740A36"/>
    <w:rsid w:val="56C6AE00"/>
    <w:rsid w:val="5725CD28"/>
    <w:rsid w:val="57FC40B4"/>
    <w:rsid w:val="5838B32C"/>
    <w:rsid w:val="5845694B"/>
    <w:rsid w:val="584D75F9"/>
    <w:rsid w:val="586B8F44"/>
    <w:rsid w:val="58808663"/>
    <w:rsid w:val="589C99E8"/>
    <w:rsid w:val="58B588F9"/>
    <w:rsid w:val="58C9B410"/>
    <w:rsid w:val="5941CCBD"/>
    <w:rsid w:val="594787A5"/>
    <w:rsid w:val="595B5110"/>
    <w:rsid w:val="596E5DE2"/>
    <w:rsid w:val="597EC497"/>
    <w:rsid w:val="599C8959"/>
    <w:rsid w:val="59C63CC6"/>
    <w:rsid w:val="5A6DA3CD"/>
    <w:rsid w:val="5A9213EC"/>
    <w:rsid w:val="5AA416D9"/>
    <w:rsid w:val="5AAD2A95"/>
    <w:rsid w:val="5B5F62EF"/>
    <w:rsid w:val="5C7C32AE"/>
    <w:rsid w:val="5D3CD13B"/>
    <w:rsid w:val="5D645F5F"/>
    <w:rsid w:val="5D6AE107"/>
    <w:rsid w:val="5D6BEBDB"/>
    <w:rsid w:val="5D88FA1C"/>
    <w:rsid w:val="5D8944B9"/>
    <w:rsid w:val="5D8FA029"/>
    <w:rsid w:val="5DD03662"/>
    <w:rsid w:val="5DD4E7F2"/>
    <w:rsid w:val="5DD8538C"/>
    <w:rsid w:val="5E2EC233"/>
    <w:rsid w:val="5E2FDA3B"/>
    <w:rsid w:val="5E3FA07B"/>
    <w:rsid w:val="5EC4CE36"/>
    <w:rsid w:val="5F07BC3C"/>
    <w:rsid w:val="5FA86321"/>
    <w:rsid w:val="5FAD47E5"/>
    <w:rsid w:val="60385F61"/>
    <w:rsid w:val="60C740EB"/>
    <w:rsid w:val="617F8B52"/>
    <w:rsid w:val="631B69F7"/>
    <w:rsid w:val="636A74D4"/>
    <w:rsid w:val="6379092B"/>
    <w:rsid w:val="637D8C39"/>
    <w:rsid w:val="63AE41EB"/>
    <w:rsid w:val="63F36693"/>
    <w:rsid w:val="648F4E65"/>
    <w:rsid w:val="64E3F6B1"/>
    <w:rsid w:val="64EEE788"/>
    <w:rsid w:val="65220717"/>
    <w:rsid w:val="6569A8CD"/>
    <w:rsid w:val="6582D12A"/>
    <w:rsid w:val="658F36F4"/>
    <w:rsid w:val="65C21FEA"/>
    <w:rsid w:val="6671F319"/>
    <w:rsid w:val="66A4A806"/>
    <w:rsid w:val="6728F046"/>
    <w:rsid w:val="67BA5208"/>
    <w:rsid w:val="682C794A"/>
    <w:rsid w:val="683553D8"/>
    <w:rsid w:val="68387ECE"/>
    <w:rsid w:val="686B731B"/>
    <w:rsid w:val="68BA71EC"/>
    <w:rsid w:val="68BAAB38"/>
    <w:rsid w:val="68BB5E5B"/>
    <w:rsid w:val="69AFB96E"/>
    <w:rsid w:val="6A045B12"/>
    <w:rsid w:val="6A47ED1E"/>
    <w:rsid w:val="6A80A581"/>
    <w:rsid w:val="6BA2F321"/>
    <w:rsid w:val="6BB393DB"/>
    <w:rsid w:val="6BB5EB1C"/>
    <w:rsid w:val="6BC5FD2C"/>
    <w:rsid w:val="6BD8EA51"/>
    <w:rsid w:val="6C6BD8DA"/>
    <w:rsid w:val="6CDDE81B"/>
    <w:rsid w:val="6CF4CB21"/>
    <w:rsid w:val="6D198626"/>
    <w:rsid w:val="6D74BAB2"/>
    <w:rsid w:val="6E3D76B3"/>
    <w:rsid w:val="6E92E0D9"/>
    <w:rsid w:val="6E96918E"/>
    <w:rsid w:val="6EA64A95"/>
    <w:rsid w:val="6EB36FBB"/>
    <w:rsid w:val="6ED4EAD2"/>
    <w:rsid w:val="6EEF47AC"/>
    <w:rsid w:val="6F428EB4"/>
    <w:rsid w:val="6F866553"/>
    <w:rsid w:val="6FC21C92"/>
    <w:rsid w:val="70BC6F5E"/>
    <w:rsid w:val="70C19DED"/>
    <w:rsid w:val="70D6BEA8"/>
    <w:rsid w:val="70EA1F5F"/>
    <w:rsid w:val="70EDB788"/>
    <w:rsid w:val="713B90CF"/>
    <w:rsid w:val="71CC7918"/>
    <w:rsid w:val="71ECB5C3"/>
    <w:rsid w:val="72B49816"/>
    <w:rsid w:val="730A4C86"/>
    <w:rsid w:val="73640CA5"/>
    <w:rsid w:val="7365D441"/>
    <w:rsid w:val="738E7EA8"/>
    <w:rsid w:val="738E83AD"/>
    <w:rsid w:val="7405FE88"/>
    <w:rsid w:val="740E5F6A"/>
    <w:rsid w:val="7421168B"/>
    <w:rsid w:val="749F004B"/>
    <w:rsid w:val="74FEA7DF"/>
    <w:rsid w:val="75303646"/>
    <w:rsid w:val="757BE6B3"/>
    <w:rsid w:val="76195300"/>
    <w:rsid w:val="7644B445"/>
    <w:rsid w:val="774714D4"/>
    <w:rsid w:val="7748F06C"/>
    <w:rsid w:val="7831623D"/>
    <w:rsid w:val="7832EA41"/>
    <w:rsid w:val="78BF5ADF"/>
    <w:rsid w:val="78D67885"/>
    <w:rsid w:val="78EC02CC"/>
    <w:rsid w:val="79F7C7A8"/>
    <w:rsid w:val="7AA24B06"/>
    <w:rsid w:val="7B0C12A3"/>
    <w:rsid w:val="7BF7E810"/>
    <w:rsid w:val="7C1A85F7"/>
    <w:rsid w:val="7C6F67D9"/>
    <w:rsid w:val="7CF1C68E"/>
    <w:rsid w:val="7CF8EA39"/>
    <w:rsid w:val="7D29C015"/>
    <w:rsid w:val="7D593EBE"/>
    <w:rsid w:val="7DF6DD2D"/>
    <w:rsid w:val="7E36D220"/>
    <w:rsid w:val="7E604C60"/>
    <w:rsid w:val="7EACCB28"/>
    <w:rsid w:val="7ECB7A51"/>
    <w:rsid w:val="7F22C430"/>
    <w:rsid w:val="7F3FD73A"/>
    <w:rsid w:val="7F56BA40"/>
    <w:rsid w:val="7FF2DC9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838A670"/>
  <w15:chartTrackingRefBased/>
  <w15:docId w15:val="{8E639BA7-9A4D-4873-AA40-563C044DD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rio">
    <w:name w:val="annotation reference"/>
    <w:basedOn w:val="Fontepargpadro"/>
    <w:uiPriority w:val="99"/>
    <w:semiHidden/>
    <w:unhideWhenUsed/>
    <w:rsid w:val="006313FC"/>
    <w:rPr>
      <w:sz w:val="16"/>
      <w:szCs w:val="16"/>
    </w:rPr>
  </w:style>
  <w:style w:type="paragraph" w:styleId="Textodecomentrio">
    <w:name w:val="annotation text"/>
    <w:basedOn w:val="Normal"/>
    <w:link w:val="TextodecomentrioChar"/>
    <w:uiPriority w:val="99"/>
    <w:unhideWhenUsed/>
    <w:rsid w:val="006313FC"/>
    <w:pPr>
      <w:spacing w:line="240" w:lineRule="auto"/>
    </w:pPr>
    <w:rPr>
      <w:sz w:val="20"/>
      <w:szCs w:val="20"/>
    </w:rPr>
  </w:style>
  <w:style w:type="character" w:customStyle="1" w:styleId="TextodecomentrioChar">
    <w:name w:val="Texto de comentário Char"/>
    <w:basedOn w:val="Fontepargpadro"/>
    <w:link w:val="Textodecomentrio"/>
    <w:uiPriority w:val="99"/>
    <w:rsid w:val="006313FC"/>
    <w:rPr>
      <w:sz w:val="20"/>
      <w:szCs w:val="20"/>
    </w:rPr>
  </w:style>
  <w:style w:type="paragraph" w:styleId="Assuntodocomentrio">
    <w:name w:val="annotation subject"/>
    <w:basedOn w:val="Textodecomentrio"/>
    <w:next w:val="Textodecomentrio"/>
    <w:link w:val="AssuntodocomentrioChar"/>
    <w:uiPriority w:val="99"/>
    <w:semiHidden/>
    <w:unhideWhenUsed/>
    <w:rsid w:val="006313FC"/>
    <w:rPr>
      <w:b/>
      <w:bCs/>
    </w:rPr>
  </w:style>
  <w:style w:type="character" w:customStyle="1" w:styleId="AssuntodocomentrioChar">
    <w:name w:val="Assunto do comentário Char"/>
    <w:basedOn w:val="TextodecomentrioChar"/>
    <w:link w:val="Assuntodocomentrio"/>
    <w:uiPriority w:val="99"/>
    <w:semiHidden/>
    <w:rsid w:val="006313FC"/>
    <w:rPr>
      <w:b/>
      <w:bCs/>
      <w:sz w:val="20"/>
      <w:szCs w:val="20"/>
    </w:rPr>
  </w:style>
  <w:style w:type="paragraph" w:styleId="Cabealho">
    <w:name w:val="header"/>
    <w:basedOn w:val="Normal"/>
    <w:link w:val="CabealhoChar"/>
    <w:uiPriority w:val="99"/>
    <w:unhideWhenUsed/>
    <w:rsid w:val="00EB729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B7292"/>
  </w:style>
  <w:style w:type="paragraph" w:styleId="Rodap">
    <w:name w:val="footer"/>
    <w:basedOn w:val="Normal"/>
    <w:link w:val="RodapChar"/>
    <w:uiPriority w:val="99"/>
    <w:unhideWhenUsed/>
    <w:rsid w:val="00EB7292"/>
    <w:pPr>
      <w:tabs>
        <w:tab w:val="center" w:pos="4252"/>
        <w:tab w:val="right" w:pos="8504"/>
      </w:tabs>
      <w:spacing w:after="0" w:line="240" w:lineRule="auto"/>
    </w:pPr>
  </w:style>
  <w:style w:type="character" w:customStyle="1" w:styleId="RodapChar">
    <w:name w:val="Rodapé Char"/>
    <w:basedOn w:val="Fontepargpadro"/>
    <w:link w:val="Rodap"/>
    <w:uiPriority w:val="99"/>
    <w:rsid w:val="00EB7292"/>
  </w:style>
  <w:style w:type="paragraph" w:styleId="Reviso">
    <w:name w:val="Revision"/>
    <w:hidden/>
    <w:uiPriority w:val="99"/>
    <w:semiHidden/>
    <w:rsid w:val="00D04E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9</Pages>
  <Words>3546</Words>
  <Characters>19154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Gabriel da Rocha dos Santos</dc:creator>
  <cp:keywords/>
  <dc:description/>
  <cp:lastModifiedBy>Jonathan Gabriel da Rocha dos Santos</cp:lastModifiedBy>
  <cp:revision>103</cp:revision>
  <cp:lastPrinted>2021-06-23T19:41:00Z</cp:lastPrinted>
  <dcterms:created xsi:type="dcterms:W3CDTF">2021-06-18T12:41:00Z</dcterms:created>
  <dcterms:modified xsi:type="dcterms:W3CDTF">2021-06-23T19:43:00Z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941709-5a3a-4a4e-88fc-591cccc1f8f1_Enabled">
    <vt:lpwstr>true</vt:lpwstr>
  </property>
  <property fmtid="{D5CDD505-2E9C-101B-9397-08002B2CF9AE}" pid="3" name="MSIP_Label_3d941709-5a3a-4a4e-88fc-591cccc1f8f1_SetDate">
    <vt:lpwstr>2021-06-21T12:51:46Z</vt:lpwstr>
  </property>
  <property fmtid="{D5CDD505-2E9C-101B-9397-08002B2CF9AE}" pid="4" name="MSIP_Label_3d941709-5a3a-4a4e-88fc-591cccc1f8f1_Method">
    <vt:lpwstr>Privileged</vt:lpwstr>
  </property>
  <property fmtid="{D5CDD505-2E9C-101B-9397-08002B2CF9AE}" pid="5" name="MSIP_Label_3d941709-5a3a-4a4e-88fc-591cccc1f8f1_Name">
    <vt:lpwstr>Uso Publico</vt:lpwstr>
  </property>
  <property fmtid="{D5CDD505-2E9C-101B-9397-08002B2CF9AE}" pid="6" name="MSIP_Label_3d941709-5a3a-4a4e-88fc-591cccc1f8f1_SiteId">
    <vt:lpwstr>6904f753-4c57-41f0-a1e5-1a470b5eb6c3</vt:lpwstr>
  </property>
  <property fmtid="{D5CDD505-2E9C-101B-9397-08002B2CF9AE}" pid="7" name="MSIP_Label_3d941709-5a3a-4a4e-88fc-591cccc1f8f1_ActionId">
    <vt:lpwstr>a05482f5-557b-4391-a7fe-d9c6f3d95373</vt:lpwstr>
  </property>
  <property fmtid="{D5CDD505-2E9C-101B-9397-08002B2CF9AE}" pid="8" name="MSIP_Label_3d941709-5a3a-4a4e-88fc-591cccc1f8f1_ContentBits">
    <vt:lpwstr>0</vt:lpwstr>
  </property>
</Properties>
</file>